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2C5A26">
      <w:pPr>
        <w:spacing w:line="760" w:lineRule="exact"/>
      </w:pPr>
      <w:r>
        <w:pict>
          <v:shape id="_x0000_i1025" o:spt="75" type="#_x0000_t75" style="height:30.95pt;width:31.65pt;" filled="f" o:preferrelative="t" stroked="f" coordsize="21600,21600">
            <v:path/>
            <v:fill on="f" focussize="0,0"/>
            <v:stroke on="f" joinstyle="miter"/>
            <v:imagedata r:id="rId12" o:title="正易会计"/>
            <o:lock v:ext="edit" aspectratio="t"/>
            <w10:wrap type="none"/>
            <w10:anchorlock/>
          </v:shape>
        </w:pict>
      </w:r>
    </w:p>
    <w:p w14:paraId="22846AF0">
      <w:pPr>
        <w:spacing w:line="920" w:lineRule="exact"/>
        <w:jc w:val="center"/>
        <w:rPr>
          <w:rFonts w:ascii="Verdana"/>
          <w:b/>
          <w:spacing w:val="500"/>
          <w:sz w:val="92"/>
          <w:szCs w:val="92"/>
        </w:rPr>
      </w:pPr>
      <w:r>
        <w:rPr>
          <w:rFonts w:hint="eastAsia" w:ascii="Verdana"/>
          <w:b/>
          <w:spacing w:val="500"/>
          <w:sz w:val="92"/>
          <w:szCs w:val="92"/>
        </w:rPr>
        <w:t xml:space="preserve"> 報告書</w:t>
      </w:r>
    </w:p>
    <w:p w14:paraId="3DF72557">
      <w:pPr>
        <w:spacing w:line="640" w:lineRule="exact"/>
        <w:jc w:val="center"/>
        <w:rPr>
          <w:rFonts w:ascii="Verdana" w:hAnsi="Verdana" w:eastAsia="楷体_GB2312"/>
          <w:spacing w:val="40"/>
          <w:sz w:val="50"/>
          <w:szCs w:val="50"/>
        </w:rPr>
      </w:pPr>
      <w:r>
        <w:rPr>
          <w:rFonts w:ascii="Verdana" w:hAnsi="Verdana" w:eastAsia="楷体_GB2312"/>
          <w:spacing w:val="40"/>
          <w:sz w:val="50"/>
          <w:szCs w:val="50"/>
        </w:rPr>
        <w:t xml:space="preserve"> REPORT</w:t>
      </w:r>
    </w:p>
    <w:p w14:paraId="549D84FA">
      <w:pPr>
        <w:spacing w:line="900" w:lineRule="exact"/>
        <w:jc w:val="center"/>
        <w:rPr>
          <w:rFonts w:ascii="Verdana"/>
          <w:sz w:val="80"/>
          <w:szCs w:val="80"/>
        </w:rPr>
      </w:pPr>
    </w:p>
    <w:p w14:paraId="700A29CD">
      <w:pPr>
        <w:tabs>
          <w:tab w:val="left" w:pos="8931"/>
        </w:tabs>
        <w:spacing w:line="360" w:lineRule="auto"/>
        <w:ind w:right="80" w:rightChars="38"/>
        <w:jc w:val="center"/>
        <w:rPr>
          <w:rFonts w:ascii="黑体" w:hAnsi="黑体" w:eastAsia="黑体"/>
          <w:sz w:val="42"/>
          <w:szCs w:val="42"/>
        </w:rPr>
      </w:pPr>
      <w:r>
        <w:rPr>
          <w:rFonts w:hint="eastAsia" w:ascii="黑体" w:hAnsi="黑体" w:eastAsia="黑体"/>
          <w:sz w:val="42"/>
          <w:szCs w:val="42"/>
          <w:lang w:val="en-US" w:eastAsia="zh-CN"/>
        </w:rPr>
        <w:t>龙岩跨境电商生态圈</w:t>
      </w:r>
      <w:r>
        <w:rPr>
          <w:rFonts w:hint="eastAsia" w:ascii="黑体" w:hAnsi="黑体" w:eastAsia="黑体"/>
          <w:sz w:val="42"/>
          <w:szCs w:val="42"/>
        </w:rPr>
        <w:t>建设专项资金使用</w:t>
      </w:r>
    </w:p>
    <w:p w14:paraId="2ECAB348">
      <w:pPr>
        <w:tabs>
          <w:tab w:val="left" w:pos="8931"/>
        </w:tabs>
        <w:spacing w:line="360" w:lineRule="auto"/>
        <w:ind w:right="80" w:rightChars="38"/>
        <w:jc w:val="center"/>
        <w:rPr>
          <w:rFonts w:ascii="黑体" w:hAnsi="黑体" w:eastAsia="黑体"/>
          <w:sz w:val="42"/>
          <w:szCs w:val="42"/>
        </w:rPr>
      </w:pPr>
      <w:r>
        <w:rPr>
          <w:rFonts w:hint="eastAsia" w:ascii="黑体" w:hAnsi="黑体" w:eastAsia="黑体"/>
          <w:sz w:val="42"/>
          <w:szCs w:val="42"/>
        </w:rPr>
        <w:t>第三方绩效评价报告</w:t>
      </w:r>
    </w:p>
    <w:p w14:paraId="52630D2E">
      <w:pPr>
        <w:jc w:val="center"/>
        <w:rPr>
          <w:rFonts w:ascii="黑体" w:hAnsi="黑体" w:eastAsia="黑体"/>
          <w:b/>
          <w:sz w:val="24"/>
        </w:rPr>
      </w:pPr>
    </w:p>
    <w:p w14:paraId="3E1036FE">
      <w:pPr>
        <w:spacing w:line="900" w:lineRule="exact"/>
        <w:jc w:val="center"/>
        <w:rPr>
          <w:rFonts w:ascii="Verdana"/>
          <w:sz w:val="30"/>
          <w:szCs w:val="30"/>
        </w:rPr>
      </w:pPr>
      <w:r>
        <w:rPr>
          <w:rFonts w:hint="eastAsia" w:ascii="黑体" w:hAnsi="黑体" w:eastAsia="黑体"/>
          <w:sz w:val="30"/>
          <w:szCs w:val="30"/>
        </w:rPr>
        <w:t>正易所咨字</w:t>
      </w:r>
      <w:r>
        <w:rPr>
          <w:rFonts w:hint="eastAsia" w:eastAsia="仿宋_GB2312"/>
          <w:sz w:val="32"/>
          <w:szCs w:val="32"/>
        </w:rPr>
        <w:t>〔</w:t>
      </w:r>
      <w:r>
        <w:rPr>
          <w:rFonts w:eastAsia="仿宋_GB2312"/>
          <w:sz w:val="32"/>
          <w:szCs w:val="32"/>
        </w:rPr>
        <w:t>20</w:t>
      </w:r>
      <w:r>
        <w:rPr>
          <w:rFonts w:hint="eastAsia" w:eastAsia="仿宋_GB2312"/>
          <w:sz w:val="32"/>
          <w:szCs w:val="32"/>
          <w:lang w:val="en-US" w:eastAsia="zh-CN"/>
        </w:rPr>
        <w:t>24</w:t>
      </w:r>
      <w:r>
        <w:rPr>
          <w:rFonts w:hint="eastAsia" w:eastAsia="仿宋_GB2312"/>
          <w:sz w:val="32"/>
          <w:szCs w:val="32"/>
        </w:rPr>
        <w:t>〕</w:t>
      </w:r>
      <w:r>
        <w:rPr>
          <w:rFonts w:hint="eastAsia" w:ascii="黑体" w:hAnsi="黑体" w:eastAsia="黑体"/>
          <w:sz w:val="30"/>
          <w:szCs w:val="30"/>
        </w:rPr>
        <w:t>第00</w:t>
      </w:r>
      <w:r>
        <w:rPr>
          <w:rFonts w:hint="eastAsia" w:ascii="黑体" w:hAnsi="黑体" w:eastAsia="黑体"/>
          <w:sz w:val="30"/>
          <w:szCs w:val="30"/>
          <w:lang w:val="en-US" w:eastAsia="zh-CN"/>
        </w:rPr>
        <w:t>2</w:t>
      </w:r>
      <w:r>
        <w:rPr>
          <w:rFonts w:hint="eastAsia" w:ascii="黑体" w:hAnsi="黑体" w:eastAsia="黑体"/>
          <w:sz w:val="30"/>
          <w:szCs w:val="30"/>
        </w:rPr>
        <w:t>号</w:t>
      </w:r>
    </w:p>
    <w:p w14:paraId="2D9F89E8">
      <w:pPr>
        <w:spacing w:line="720" w:lineRule="exact"/>
        <w:jc w:val="center"/>
        <w:rPr>
          <w:rFonts w:ascii="Verdana"/>
          <w:sz w:val="80"/>
          <w:szCs w:val="80"/>
        </w:rPr>
      </w:pPr>
    </w:p>
    <w:p w14:paraId="2350FF93">
      <w:pPr>
        <w:spacing w:line="720" w:lineRule="exact"/>
        <w:jc w:val="center"/>
        <w:rPr>
          <w:rFonts w:ascii="Verdana"/>
          <w:sz w:val="80"/>
          <w:szCs w:val="80"/>
        </w:rPr>
      </w:pPr>
    </w:p>
    <w:p w14:paraId="1538C03D">
      <w:pPr>
        <w:spacing w:line="720" w:lineRule="exact"/>
        <w:jc w:val="center"/>
        <w:rPr>
          <w:rFonts w:ascii="Verdana"/>
          <w:sz w:val="80"/>
          <w:szCs w:val="80"/>
        </w:rPr>
      </w:pPr>
    </w:p>
    <w:p w14:paraId="23F4C034">
      <w:pPr>
        <w:spacing w:line="720" w:lineRule="exact"/>
        <w:jc w:val="center"/>
        <w:rPr>
          <w:rFonts w:ascii="Verdana"/>
          <w:sz w:val="80"/>
          <w:szCs w:val="80"/>
        </w:rPr>
      </w:pPr>
    </w:p>
    <w:p w14:paraId="2A22D1D4">
      <w:pPr>
        <w:spacing w:line="720" w:lineRule="exact"/>
        <w:jc w:val="center"/>
        <w:rPr>
          <w:rFonts w:ascii="Verdana"/>
          <w:sz w:val="80"/>
          <w:szCs w:val="80"/>
        </w:rPr>
      </w:pPr>
    </w:p>
    <w:p w14:paraId="5CBDAA39">
      <w:pPr>
        <w:spacing w:line="720" w:lineRule="exact"/>
        <w:jc w:val="center"/>
        <w:rPr>
          <w:rFonts w:ascii="Verdana"/>
          <w:sz w:val="80"/>
          <w:szCs w:val="80"/>
        </w:rPr>
      </w:pPr>
    </w:p>
    <w:p w14:paraId="7F5925BF">
      <w:pPr>
        <w:spacing w:line="720" w:lineRule="exact"/>
        <w:jc w:val="center"/>
        <w:rPr>
          <w:rFonts w:ascii="Verdana"/>
          <w:sz w:val="80"/>
          <w:szCs w:val="80"/>
        </w:rPr>
      </w:pPr>
    </w:p>
    <w:p w14:paraId="12F78645">
      <w:pPr>
        <w:spacing w:line="720" w:lineRule="exact"/>
        <w:jc w:val="center"/>
        <w:rPr>
          <w:rFonts w:ascii="Verdana"/>
          <w:sz w:val="80"/>
          <w:szCs w:val="80"/>
        </w:rPr>
      </w:pPr>
    </w:p>
    <w:p w14:paraId="3DE9E851">
      <w:pPr>
        <w:spacing w:line="560" w:lineRule="exact"/>
        <w:jc w:val="center"/>
        <w:rPr>
          <w:rFonts w:ascii="宋体" w:hAnsi="宋体"/>
          <w:kern w:val="0"/>
          <w:sz w:val="36"/>
          <w:szCs w:val="36"/>
        </w:rPr>
      </w:pPr>
      <w:r>
        <w:rPr>
          <w:rFonts w:hint="eastAsia" w:ascii="宋体" w:hAnsi="宋体"/>
          <w:kern w:val="0"/>
          <w:sz w:val="36"/>
          <w:szCs w:val="36"/>
        </w:rPr>
        <w:t xml:space="preserve">  龙岩正易联合会计师事务所（普通合伙）</w:t>
      </w:r>
    </w:p>
    <w:p w14:paraId="29E3F9C8">
      <w:pPr>
        <w:spacing w:line="560" w:lineRule="exact"/>
        <w:jc w:val="center"/>
        <w:rPr>
          <w:rFonts w:ascii="宋体" w:hAnsi="宋体"/>
          <w:kern w:val="0"/>
          <w:sz w:val="26"/>
          <w:szCs w:val="26"/>
        </w:rPr>
      </w:pPr>
      <w:r>
        <w:rPr>
          <w:rFonts w:hint="eastAsia" w:ascii="宋体" w:hAnsi="宋体"/>
          <w:kern w:val="0"/>
          <w:sz w:val="26"/>
          <w:szCs w:val="26"/>
        </w:rPr>
        <w:t xml:space="preserve">    地址：龙岩市龙岩经济技术开发区龙腾南路14号珠江大厦1501室</w:t>
      </w:r>
    </w:p>
    <w:p w14:paraId="6C1100D0">
      <w:pPr>
        <w:spacing w:line="560" w:lineRule="exact"/>
        <w:jc w:val="center"/>
        <w:rPr>
          <w:rFonts w:ascii="宋体" w:hAnsi="宋体"/>
          <w:kern w:val="0"/>
          <w:sz w:val="26"/>
          <w:szCs w:val="26"/>
        </w:rPr>
      </w:pPr>
      <w:r>
        <w:rPr>
          <w:rFonts w:hint="eastAsia" w:ascii="宋体" w:hAnsi="宋体"/>
          <w:kern w:val="0"/>
          <w:sz w:val="26"/>
          <w:szCs w:val="26"/>
        </w:rPr>
        <w:t xml:space="preserve">    电话：0597-2858118        传真：0597-2828118</w:t>
      </w:r>
    </w:p>
    <w:p w14:paraId="5843062C">
      <w:pPr>
        <w:jc w:val="center"/>
        <w:rPr>
          <w:rFonts w:ascii="方正小标宋简体" w:hAnsi="宋体" w:eastAsia="方正小标宋简体"/>
          <w:sz w:val="36"/>
          <w:szCs w:val="36"/>
        </w:rPr>
        <w:sectPr>
          <w:headerReference r:id="rId3" w:type="default"/>
          <w:headerReference r:id="rId4" w:type="even"/>
          <w:footerReference r:id="rId5" w:type="even"/>
          <w:pgSz w:w="11906" w:h="16838"/>
          <w:pgMar w:top="1588" w:right="1304" w:bottom="1304" w:left="1588" w:header="1134" w:footer="1134" w:gutter="0"/>
          <w:cols w:space="720" w:num="1"/>
          <w:titlePg/>
          <w:docGrid w:type="lines" w:linePitch="312" w:charSpace="0"/>
        </w:sectPr>
      </w:pPr>
    </w:p>
    <w:p w14:paraId="28AA095E">
      <w:pPr>
        <w:rPr>
          <w:rFonts w:ascii="方正小标宋简体" w:hAnsi="宋体" w:eastAsia="方正小标宋简体"/>
          <w:sz w:val="36"/>
          <w:szCs w:val="36"/>
        </w:rPr>
      </w:pPr>
    </w:p>
    <w:p w14:paraId="3117D348">
      <w:pPr>
        <w:tabs>
          <w:tab w:val="left" w:pos="8931"/>
        </w:tabs>
        <w:spacing w:line="360" w:lineRule="auto"/>
        <w:ind w:right="80" w:rightChars="38"/>
        <w:jc w:val="center"/>
        <w:rPr>
          <w:rFonts w:ascii="黑体" w:hAnsi="黑体" w:eastAsia="黑体"/>
          <w:sz w:val="40"/>
          <w:szCs w:val="40"/>
        </w:rPr>
      </w:pPr>
      <w:r>
        <w:rPr>
          <w:rFonts w:hint="eastAsia" w:ascii="黑体" w:hAnsi="黑体" w:eastAsia="黑体"/>
          <w:sz w:val="40"/>
          <w:szCs w:val="40"/>
          <w:lang w:eastAsia="zh-CN"/>
        </w:rPr>
        <w:t>龙岩跨境电商生态圈</w:t>
      </w:r>
      <w:r>
        <w:rPr>
          <w:rFonts w:hint="eastAsia" w:ascii="黑体" w:hAnsi="黑体" w:eastAsia="黑体"/>
          <w:sz w:val="40"/>
          <w:szCs w:val="40"/>
        </w:rPr>
        <w:t>建设专项资金使用</w:t>
      </w:r>
    </w:p>
    <w:p w14:paraId="51E5F662">
      <w:pPr>
        <w:jc w:val="center"/>
        <w:rPr>
          <w:rFonts w:ascii="方正小标宋简体" w:hAnsi="黑体" w:eastAsia="方正小标宋简体"/>
          <w:sz w:val="40"/>
          <w:szCs w:val="40"/>
        </w:rPr>
      </w:pPr>
      <w:r>
        <w:rPr>
          <w:rFonts w:hint="eastAsia" w:ascii="黑体" w:hAnsi="黑体" w:eastAsia="黑体"/>
          <w:sz w:val="40"/>
          <w:szCs w:val="40"/>
        </w:rPr>
        <w:t>第三方绩效评价报告</w:t>
      </w:r>
    </w:p>
    <w:p w14:paraId="5DA70843">
      <w:pPr>
        <w:jc w:val="center"/>
        <w:rPr>
          <w:rFonts w:ascii="黑体" w:hAnsi="黑体" w:eastAsia="黑体"/>
          <w:b/>
          <w:sz w:val="24"/>
        </w:rPr>
      </w:pPr>
    </w:p>
    <w:p w14:paraId="5CBF0A58">
      <w:pPr>
        <w:jc w:val="center"/>
        <w:rPr>
          <w:rFonts w:eastAsia="仿宋_GB2312"/>
          <w:sz w:val="32"/>
          <w:szCs w:val="32"/>
          <w:highlight w:val="yellow"/>
        </w:rPr>
      </w:pPr>
      <w:r>
        <w:rPr>
          <w:rFonts w:eastAsia="仿宋_GB2312"/>
          <w:sz w:val="32"/>
          <w:szCs w:val="32"/>
        </w:rPr>
        <w:t>正易所咨字</w:t>
      </w:r>
      <w:r>
        <w:rPr>
          <w:rFonts w:hint="eastAsia" w:eastAsia="仿宋_GB2312"/>
          <w:sz w:val="32"/>
          <w:szCs w:val="32"/>
        </w:rPr>
        <w:t>〔</w:t>
      </w:r>
      <w:r>
        <w:rPr>
          <w:rFonts w:eastAsia="仿宋_GB2312"/>
          <w:sz w:val="32"/>
          <w:szCs w:val="32"/>
        </w:rPr>
        <w:t>20</w:t>
      </w:r>
      <w:r>
        <w:rPr>
          <w:rFonts w:hint="eastAsia" w:eastAsia="仿宋_GB2312"/>
          <w:sz w:val="32"/>
          <w:szCs w:val="32"/>
          <w:lang w:val="en-US" w:eastAsia="zh-CN"/>
        </w:rPr>
        <w:t>24</w:t>
      </w:r>
      <w:r>
        <w:rPr>
          <w:rFonts w:hint="eastAsia" w:eastAsia="仿宋_GB2312"/>
          <w:sz w:val="32"/>
          <w:szCs w:val="32"/>
        </w:rPr>
        <w:t>〕</w:t>
      </w:r>
      <w:r>
        <w:rPr>
          <w:rFonts w:eastAsia="仿宋_GB2312"/>
          <w:sz w:val="32"/>
          <w:szCs w:val="32"/>
        </w:rPr>
        <w:t>第00</w:t>
      </w:r>
      <w:r>
        <w:rPr>
          <w:rFonts w:hint="eastAsia" w:eastAsia="仿宋_GB2312"/>
          <w:sz w:val="32"/>
          <w:szCs w:val="32"/>
          <w:lang w:val="en-US" w:eastAsia="zh-CN"/>
        </w:rPr>
        <w:t>2</w:t>
      </w:r>
      <w:r>
        <w:rPr>
          <w:rFonts w:eastAsia="仿宋_GB2312"/>
          <w:sz w:val="32"/>
          <w:szCs w:val="32"/>
        </w:rPr>
        <w:t>号</w:t>
      </w:r>
    </w:p>
    <w:p w14:paraId="51DB3566">
      <w:pPr>
        <w:jc w:val="center"/>
        <w:rPr>
          <w:rFonts w:ascii="黑体" w:hAnsi="黑体" w:eastAsia="黑体"/>
          <w:b/>
          <w:sz w:val="44"/>
          <w:szCs w:val="44"/>
        </w:rPr>
      </w:pPr>
    </w:p>
    <w:p w14:paraId="1D1D3690">
      <w:pPr>
        <w:jc w:val="center"/>
        <w:rPr>
          <w:rFonts w:ascii="黑体" w:hAnsi="黑体" w:eastAsia="黑体"/>
          <w:b/>
          <w:sz w:val="44"/>
          <w:szCs w:val="44"/>
        </w:rPr>
      </w:pPr>
    </w:p>
    <w:p w14:paraId="104F10EA">
      <w:pPr>
        <w:jc w:val="center"/>
        <w:rPr>
          <w:rFonts w:ascii="黑体" w:hAnsi="黑体" w:eastAsia="黑体"/>
          <w:b/>
          <w:sz w:val="44"/>
          <w:szCs w:val="44"/>
        </w:rPr>
      </w:pPr>
    </w:p>
    <w:p w14:paraId="399398CC">
      <w:pPr>
        <w:jc w:val="center"/>
        <w:rPr>
          <w:rFonts w:ascii="黑体" w:hAnsi="黑体" w:eastAsia="黑体"/>
          <w:b/>
          <w:sz w:val="44"/>
          <w:szCs w:val="44"/>
        </w:rPr>
      </w:pPr>
    </w:p>
    <w:p w14:paraId="08D619C6">
      <w:pPr>
        <w:jc w:val="center"/>
        <w:rPr>
          <w:rFonts w:ascii="黑体" w:hAnsi="黑体" w:eastAsia="黑体"/>
          <w:b/>
          <w:sz w:val="44"/>
          <w:szCs w:val="44"/>
        </w:rPr>
      </w:pPr>
    </w:p>
    <w:p w14:paraId="7400F101">
      <w:pPr>
        <w:jc w:val="center"/>
        <w:rPr>
          <w:rFonts w:ascii="黑体" w:hAnsi="黑体" w:eastAsia="黑体"/>
          <w:b/>
          <w:sz w:val="44"/>
          <w:szCs w:val="44"/>
        </w:rPr>
      </w:pPr>
    </w:p>
    <w:p w14:paraId="32AF472D">
      <w:pPr>
        <w:jc w:val="center"/>
        <w:rPr>
          <w:rFonts w:ascii="黑体" w:hAnsi="黑体" w:eastAsia="黑体"/>
          <w:b/>
          <w:sz w:val="44"/>
          <w:szCs w:val="44"/>
        </w:rPr>
      </w:pPr>
    </w:p>
    <w:p w14:paraId="79FC9296">
      <w:pPr>
        <w:jc w:val="center"/>
        <w:rPr>
          <w:rFonts w:ascii="黑体" w:hAnsi="黑体" w:eastAsia="黑体"/>
          <w:b/>
          <w:sz w:val="44"/>
          <w:szCs w:val="44"/>
        </w:rPr>
      </w:pPr>
    </w:p>
    <w:p w14:paraId="2193E97E">
      <w:pPr>
        <w:jc w:val="center"/>
        <w:rPr>
          <w:rFonts w:ascii="黑体" w:hAnsi="黑体" w:eastAsia="黑体"/>
          <w:b/>
          <w:sz w:val="44"/>
          <w:szCs w:val="44"/>
        </w:rPr>
      </w:pPr>
    </w:p>
    <w:p w14:paraId="6C260D4C">
      <w:pPr>
        <w:jc w:val="center"/>
        <w:rPr>
          <w:rFonts w:ascii="黑体" w:hAnsi="黑体" w:eastAsia="黑体"/>
          <w:b/>
          <w:sz w:val="44"/>
          <w:szCs w:val="44"/>
        </w:rPr>
      </w:pPr>
    </w:p>
    <w:p w14:paraId="5992161B">
      <w:pPr>
        <w:jc w:val="center"/>
        <w:rPr>
          <w:rFonts w:ascii="黑体" w:hAnsi="黑体" w:eastAsia="黑体"/>
          <w:b/>
          <w:sz w:val="44"/>
          <w:szCs w:val="44"/>
        </w:rPr>
      </w:pPr>
    </w:p>
    <w:p w14:paraId="6A330B17">
      <w:pPr>
        <w:jc w:val="center"/>
        <w:rPr>
          <w:rFonts w:ascii="黑体" w:hAnsi="黑体" w:eastAsia="黑体"/>
          <w:b/>
          <w:sz w:val="44"/>
          <w:szCs w:val="44"/>
        </w:rPr>
      </w:pPr>
    </w:p>
    <w:p w14:paraId="7E0BCC54">
      <w:pPr>
        <w:jc w:val="center"/>
        <w:rPr>
          <w:rFonts w:ascii="宋体" w:hAnsi="宋体"/>
          <w:sz w:val="32"/>
          <w:szCs w:val="32"/>
        </w:rPr>
      </w:pPr>
      <w:r>
        <w:rPr>
          <w:rFonts w:hint="eastAsia" w:ascii="宋体" w:hAnsi="宋体"/>
          <w:sz w:val="32"/>
          <w:szCs w:val="32"/>
        </w:rPr>
        <w:t>评价机构：龙岩正易联合会计师事务所（普通合伙）</w:t>
      </w:r>
    </w:p>
    <w:p w14:paraId="782380F6">
      <w:pPr>
        <w:jc w:val="center"/>
        <w:rPr>
          <w:rFonts w:ascii="宋体" w:hAnsi="宋体"/>
          <w:sz w:val="32"/>
          <w:szCs w:val="32"/>
        </w:rPr>
      </w:pPr>
      <w:r>
        <w:rPr>
          <w:rFonts w:hint="eastAsia" w:ascii="宋体" w:hAnsi="宋体"/>
          <w:sz w:val="32"/>
          <w:szCs w:val="32"/>
        </w:rPr>
        <w:t>20</w:t>
      </w:r>
      <w:r>
        <w:rPr>
          <w:rFonts w:hint="eastAsia" w:ascii="宋体" w:hAnsi="宋体"/>
          <w:sz w:val="32"/>
          <w:szCs w:val="32"/>
          <w:lang w:val="en-US" w:eastAsia="zh-CN"/>
        </w:rPr>
        <w:t>24</w:t>
      </w:r>
      <w:r>
        <w:rPr>
          <w:rFonts w:hint="eastAsia" w:ascii="宋体" w:hAnsi="宋体"/>
          <w:sz w:val="32"/>
          <w:szCs w:val="32"/>
        </w:rPr>
        <w:t>年1</w:t>
      </w:r>
      <w:r>
        <w:rPr>
          <w:rFonts w:hint="eastAsia" w:ascii="宋体" w:hAnsi="宋体"/>
          <w:sz w:val="32"/>
          <w:szCs w:val="32"/>
          <w:lang w:val="en-US" w:eastAsia="zh-CN"/>
        </w:rPr>
        <w:t>0</w:t>
      </w:r>
      <w:r>
        <w:rPr>
          <w:rFonts w:hint="eastAsia" w:ascii="宋体" w:hAnsi="宋体"/>
          <w:sz w:val="32"/>
          <w:szCs w:val="32"/>
        </w:rPr>
        <w:t>月</w:t>
      </w:r>
      <w:r>
        <w:rPr>
          <w:rFonts w:hint="eastAsia" w:ascii="宋体" w:hAnsi="宋体"/>
          <w:sz w:val="32"/>
          <w:szCs w:val="32"/>
          <w:lang w:val="en-US" w:eastAsia="zh-CN"/>
        </w:rPr>
        <w:t>15</w:t>
      </w:r>
      <w:r>
        <w:rPr>
          <w:rFonts w:hint="eastAsia" w:ascii="宋体" w:hAnsi="宋体"/>
          <w:sz w:val="32"/>
          <w:szCs w:val="32"/>
        </w:rPr>
        <w:t>日</w:t>
      </w:r>
    </w:p>
    <w:p w14:paraId="4DB02940">
      <w:pPr>
        <w:jc w:val="center"/>
        <w:rPr>
          <w:rFonts w:ascii="黑体" w:hAnsi="黑体" w:eastAsia="黑体" w:cs="黑体"/>
          <w:sz w:val="36"/>
          <w:szCs w:val="36"/>
        </w:rPr>
        <w:sectPr>
          <w:footerReference r:id="rId7" w:type="first"/>
          <w:footerReference r:id="rId6" w:type="default"/>
          <w:pgSz w:w="11906" w:h="16838"/>
          <w:pgMar w:top="2098" w:right="1588" w:bottom="1701" w:left="1588" w:header="1134" w:footer="1134" w:gutter="0"/>
          <w:pgNumType w:start="1"/>
          <w:cols w:space="720" w:num="1"/>
          <w:titlePg/>
          <w:docGrid w:type="lines" w:linePitch="312" w:charSpace="0"/>
        </w:sectPr>
      </w:pPr>
    </w:p>
    <w:p w14:paraId="46AFF3AD">
      <w:pPr>
        <w:spacing w:line="440" w:lineRule="exact"/>
        <w:jc w:val="center"/>
        <w:rPr>
          <w:rFonts w:ascii="黑体" w:hAnsi="黑体" w:eastAsia="黑体" w:cs="黑体"/>
          <w:sz w:val="36"/>
          <w:szCs w:val="36"/>
        </w:rPr>
      </w:pPr>
      <w:r>
        <w:rPr>
          <w:rFonts w:hint="eastAsia" w:ascii="黑体" w:hAnsi="黑体" w:eastAsia="黑体" w:cs="黑体"/>
          <w:sz w:val="36"/>
          <w:szCs w:val="36"/>
        </w:rPr>
        <w:t>目  录</w:t>
      </w:r>
    </w:p>
    <w:p w14:paraId="57B0A6D5">
      <w:pPr>
        <w:spacing w:line="440" w:lineRule="exact"/>
        <w:jc w:val="center"/>
        <w:rPr>
          <w:rFonts w:ascii="黑体" w:hAnsi="黑体" w:eastAsia="黑体" w:cs="黑体"/>
          <w:sz w:val="36"/>
          <w:szCs w:val="36"/>
        </w:rPr>
      </w:pPr>
    </w:p>
    <w:p w14:paraId="143709FF">
      <w:pPr>
        <w:pStyle w:val="34"/>
        <w:tabs>
          <w:tab w:val="right" w:leader="dot" w:pos="8730"/>
        </w:tabs>
        <w:spacing w:line="440" w:lineRule="exact"/>
        <w:rPr>
          <w:rFonts w:ascii="宋体" w:hAnsi="宋体" w:cs="宋体"/>
          <w:sz w:val="24"/>
          <w:szCs w:val="24"/>
        </w:rPr>
      </w:pPr>
      <w:r>
        <w:fldChar w:fldCharType="begin"/>
      </w:r>
      <w:r>
        <w:instrText xml:space="preserve"> HYPERLINK \l "_Toc2623" </w:instrText>
      </w:r>
      <w:r>
        <w:fldChar w:fldCharType="separate"/>
      </w:r>
      <w:r>
        <w:rPr>
          <w:rFonts w:hint="eastAsia" w:ascii="宋体" w:hAnsi="宋体" w:cs="宋体"/>
          <w:b/>
          <w:bCs/>
          <w:sz w:val="24"/>
          <w:szCs w:val="24"/>
        </w:rPr>
        <w:t>一、项目概况</w:t>
      </w:r>
      <w:r>
        <w:rPr>
          <w:rFonts w:hint="eastAsia" w:ascii="宋体" w:hAnsi="宋体" w:cs="宋体"/>
          <w:b/>
          <w:bCs/>
          <w:sz w:val="24"/>
          <w:szCs w:val="24"/>
        </w:rPr>
        <w:tab/>
      </w:r>
      <w:r>
        <w:rPr>
          <w:rFonts w:hint="eastAsia" w:ascii="宋体" w:hAnsi="宋体" w:cs="宋体"/>
          <w:b/>
          <w:bCs/>
          <w:sz w:val="24"/>
          <w:szCs w:val="24"/>
          <w:lang w:val="en-US" w:eastAsia="zh-CN"/>
        </w:rPr>
        <w:t>2</w:t>
      </w:r>
      <w:r>
        <w:rPr>
          <w:rFonts w:hint="eastAsia" w:ascii="宋体" w:hAnsi="宋体" w:cs="宋体"/>
          <w:b/>
          <w:bCs/>
          <w:sz w:val="24"/>
          <w:szCs w:val="24"/>
        </w:rPr>
        <w:fldChar w:fldCharType="end"/>
      </w:r>
    </w:p>
    <w:p w14:paraId="26A641F5">
      <w:pPr>
        <w:pStyle w:val="35"/>
        <w:tabs>
          <w:tab w:val="right" w:leader="dot" w:pos="8730"/>
        </w:tabs>
        <w:spacing w:line="440" w:lineRule="exact"/>
        <w:ind w:left="420"/>
        <w:rPr>
          <w:rFonts w:ascii="宋体" w:hAnsi="宋体" w:cs="宋体"/>
          <w:sz w:val="24"/>
          <w:szCs w:val="24"/>
        </w:rPr>
      </w:pPr>
      <w:r>
        <w:fldChar w:fldCharType="begin"/>
      </w:r>
      <w:r>
        <w:instrText xml:space="preserve"> HYPERLINK \l "_Toc13198" </w:instrText>
      </w:r>
      <w:r>
        <w:fldChar w:fldCharType="separate"/>
      </w:r>
      <w:r>
        <w:rPr>
          <w:rFonts w:hint="eastAsia" w:ascii="宋体" w:hAnsi="宋体" w:cs="宋体"/>
          <w:sz w:val="24"/>
          <w:szCs w:val="24"/>
        </w:rPr>
        <w:t>（一）项目背景</w:t>
      </w:r>
      <w:r>
        <w:rPr>
          <w:rFonts w:hint="eastAsia" w:ascii="宋体" w:hAnsi="宋体" w:cs="宋体"/>
          <w:sz w:val="24"/>
          <w:szCs w:val="24"/>
        </w:rPr>
        <w:tab/>
      </w:r>
      <w:r>
        <w:rPr>
          <w:rFonts w:hint="eastAsia" w:ascii="宋体" w:hAnsi="宋体" w:cs="宋体"/>
          <w:sz w:val="24"/>
          <w:szCs w:val="24"/>
          <w:lang w:val="en-US" w:eastAsia="zh-CN"/>
        </w:rPr>
        <w:t>2</w:t>
      </w:r>
      <w:r>
        <w:rPr>
          <w:rFonts w:hint="eastAsia" w:ascii="宋体" w:hAnsi="宋体" w:cs="宋体"/>
          <w:sz w:val="24"/>
          <w:szCs w:val="24"/>
        </w:rPr>
        <w:fldChar w:fldCharType="end"/>
      </w:r>
    </w:p>
    <w:p w14:paraId="707F6A96">
      <w:pPr>
        <w:pStyle w:val="35"/>
        <w:tabs>
          <w:tab w:val="right" w:leader="dot" w:pos="8730"/>
        </w:tabs>
        <w:spacing w:line="440" w:lineRule="exact"/>
        <w:ind w:left="420"/>
        <w:rPr>
          <w:rFonts w:ascii="宋体" w:hAnsi="宋体" w:cs="宋体"/>
          <w:sz w:val="24"/>
          <w:szCs w:val="24"/>
        </w:rPr>
      </w:pPr>
      <w:r>
        <w:fldChar w:fldCharType="begin"/>
      </w:r>
      <w:r>
        <w:instrText xml:space="preserve"> HYPERLINK \l "_Toc18944" </w:instrText>
      </w:r>
      <w:r>
        <w:fldChar w:fldCharType="separate"/>
      </w:r>
      <w:r>
        <w:rPr>
          <w:rFonts w:hint="eastAsia" w:ascii="宋体" w:hAnsi="宋体" w:cs="宋体"/>
          <w:sz w:val="24"/>
          <w:szCs w:val="24"/>
        </w:rPr>
        <w:t>（二）项目实施情况</w:t>
      </w:r>
      <w:r>
        <w:rPr>
          <w:rFonts w:hint="eastAsia" w:ascii="宋体" w:hAnsi="宋体" w:cs="宋体"/>
          <w:sz w:val="24"/>
          <w:szCs w:val="24"/>
        </w:rPr>
        <w:tab/>
      </w:r>
      <w:r>
        <w:rPr>
          <w:rFonts w:hint="eastAsia" w:ascii="宋体" w:hAnsi="宋体" w:cs="宋体"/>
          <w:sz w:val="24"/>
          <w:szCs w:val="24"/>
        </w:rPr>
        <w:t>2</w:t>
      </w:r>
      <w:r>
        <w:rPr>
          <w:rFonts w:hint="eastAsia" w:ascii="宋体" w:hAnsi="宋体" w:cs="宋体"/>
          <w:sz w:val="24"/>
          <w:szCs w:val="24"/>
        </w:rPr>
        <w:fldChar w:fldCharType="end"/>
      </w:r>
    </w:p>
    <w:p w14:paraId="705439EA">
      <w:pPr>
        <w:pStyle w:val="35"/>
        <w:tabs>
          <w:tab w:val="right" w:leader="dot" w:pos="8730"/>
        </w:tabs>
        <w:spacing w:line="440" w:lineRule="exact"/>
        <w:ind w:left="420"/>
        <w:rPr>
          <w:rFonts w:ascii="宋体" w:hAnsi="宋体" w:cs="宋体"/>
          <w:sz w:val="24"/>
          <w:szCs w:val="24"/>
        </w:rPr>
      </w:pPr>
      <w:r>
        <w:fldChar w:fldCharType="begin"/>
      </w:r>
      <w:r>
        <w:instrText xml:space="preserve"> HYPERLINK \l "_Toc18363" </w:instrText>
      </w:r>
      <w:r>
        <w:fldChar w:fldCharType="separate"/>
      </w:r>
      <w:r>
        <w:rPr>
          <w:rFonts w:hint="eastAsia" w:ascii="宋体" w:hAnsi="宋体" w:cs="宋体"/>
          <w:sz w:val="24"/>
          <w:szCs w:val="24"/>
        </w:rPr>
        <w:t>（三）项目评价目的</w:t>
      </w:r>
      <w:r>
        <w:rPr>
          <w:rFonts w:hint="eastAsia" w:ascii="宋体" w:hAnsi="宋体" w:cs="宋体"/>
          <w:sz w:val="24"/>
          <w:szCs w:val="24"/>
        </w:rPr>
        <w:tab/>
      </w:r>
      <w:r>
        <w:rPr>
          <w:rFonts w:hint="eastAsia" w:ascii="宋体" w:hAnsi="宋体" w:cs="宋体"/>
          <w:sz w:val="24"/>
          <w:szCs w:val="24"/>
        </w:rPr>
        <w:t>5</w:t>
      </w:r>
      <w:r>
        <w:rPr>
          <w:rFonts w:hint="eastAsia" w:ascii="宋体" w:hAnsi="宋体" w:cs="宋体"/>
          <w:sz w:val="24"/>
          <w:szCs w:val="24"/>
        </w:rPr>
        <w:fldChar w:fldCharType="end"/>
      </w:r>
    </w:p>
    <w:p w14:paraId="0BF6765B">
      <w:pPr>
        <w:pStyle w:val="34"/>
        <w:tabs>
          <w:tab w:val="right" w:leader="dot" w:pos="8730"/>
        </w:tabs>
        <w:spacing w:line="440" w:lineRule="exact"/>
        <w:rPr>
          <w:rFonts w:ascii="宋体" w:hAnsi="宋体" w:cs="宋体"/>
          <w:sz w:val="24"/>
          <w:szCs w:val="24"/>
        </w:rPr>
      </w:pPr>
      <w:r>
        <w:fldChar w:fldCharType="begin"/>
      </w:r>
      <w:r>
        <w:instrText xml:space="preserve"> HYPERLINK \l "_Toc25292" </w:instrText>
      </w:r>
      <w:r>
        <w:fldChar w:fldCharType="separate"/>
      </w:r>
      <w:r>
        <w:rPr>
          <w:rFonts w:hint="eastAsia" w:ascii="宋体" w:hAnsi="宋体" w:cs="宋体"/>
          <w:b/>
          <w:bCs/>
          <w:sz w:val="24"/>
          <w:szCs w:val="24"/>
        </w:rPr>
        <w:t>二、项目绩效评价工作开展情况</w:t>
      </w:r>
      <w:r>
        <w:rPr>
          <w:rFonts w:hint="eastAsia" w:ascii="宋体" w:hAnsi="宋体" w:cs="宋体"/>
          <w:b/>
          <w:bCs/>
          <w:sz w:val="24"/>
          <w:szCs w:val="24"/>
        </w:rPr>
        <w:tab/>
      </w:r>
      <w:r>
        <w:rPr>
          <w:rFonts w:hint="eastAsia" w:ascii="宋体" w:hAnsi="宋体" w:cs="宋体"/>
          <w:b/>
          <w:bCs/>
          <w:sz w:val="24"/>
          <w:szCs w:val="24"/>
        </w:rPr>
        <w:t>5</w:t>
      </w:r>
      <w:r>
        <w:rPr>
          <w:rFonts w:hint="eastAsia" w:ascii="宋体" w:hAnsi="宋体" w:cs="宋体"/>
          <w:b/>
          <w:bCs/>
          <w:sz w:val="24"/>
          <w:szCs w:val="24"/>
        </w:rPr>
        <w:fldChar w:fldCharType="end"/>
      </w:r>
    </w:p>
    <w:p w14:paraId="6B50A8DF">
      <w:pPr>
        <w:pStyle w:val="35"/>
        <w:tabs>
          <w:tab w:val="right" w:leader="dot" w:pos="8730"/>
        </w:tabs>
        <w:spacing w:line="440" w:lineRule="exact"/>
        <w:ind w:left="420"/>
        <w:rPr>
          <w:rFonts w:ascii="宋体" w:hAnsi="宋体" w:cs="宋体"/>
          <w:sz w:val="24"/>
          <w:szCs w:val="24"/>
        </w:rPr>
      </w:pPr>
      <w:r>
        <w:fldChar w:fldCharType="begin"/>
      </w:r>
      <w:r>
        <w:instrText xml:space="preserve"> HYPERLINK \l "_Toc3711" </w:instrText>
      </w:r>
      <w:r>
        <w:fldChar w:fldCharType="separate"/>
      </w:r>
      <w:r>
        <w:rPr>
          <w:rFonts w:hint="eastAsia" w:ascii="宋体" w:hAnsi="宋体" w:cs="宋体"/>
          <w:sz w:val="24"/>
          <w:szCs w:val="24"/>
        </w:rPr>
        <w:t>（一）评价思路</w:t>
      </w:r>
      <w:r>
        <w:rPr>
          <w:rFonts w:hint="eastAsia" w:ascii="宋体" w:hAnsi="宋体" w:cs="宋体"/>
          <w:sz w:val="24"/>
          <w:szCs w:val="24"/>
        </w:rPr>
        <w:tab/>
      </w:r>
      <w:r>
        <w:rPr>
          <w:rFonts w:hint="eastAsia" w:ascii="宋体" w:hAnsi="宋体" w:cs="宋体"/>
          <w:sz w:val="24"/>
          <w:szCs w:val="24"/>
        </w:rPr>
        <w:t>5</w:t>
      </w:r>
      <w:r>
        <w:rPr>
          <w:rFonts w:hint="eastAsia" w:ascii="宋体" w:hAnsi="宋体" w:cs="宋体"/>
          <w:sz w:val="24"/>
          <w:szCs w:val="24"/>
        </w:rPr>
        <w:fldChar w:fldCharType="end"/>
      </w:r>
    </w:p>
    <w:p w14:paraId="6199AB1A">
      <w:pPr>
        <w:pStyle w:val="35"/>
        <w:tabs>
          <w:tab w:val="right" w:leader="dot" w:pos="8730"/>
        </w:tabs>
        <w:spacing w:line="440" w:lineRule="exact"/>
        <w:ind w:left="420"/>
        <w:rPr>
          <w:rFonts w:ascii="宋体" w:hAnsi="宋体" w:cs="宋体"/>
          <w:sz w:val="24"/>
          <w:szCs w:val="24"/>
        </w:rPr>
      </w:pPr>
      <w:r>
        <w:fldChar w:fldCharType="begin"/>
      </w:r>
      <w:r>
        <w:instrText xml:space="preserve"> HYPERLINK \l "_Toc10143" </w:instrText>
      </w:r>
      <w:r>
        <w:fldChar w:fldCharType="separate"/>
      </w:r>
      <w:r>
        <w:rPr>
          <w:rFonts w:hint="eastAsia" w:ascii="宋体" w:hAnsi="宋体" w:cs="宋体"/>
          <w:sz w:val="24"/>
          <w:szCs w:val="24"/>
        </w:rPr>
        <w:t>（二）评价依据</w:t>
      </w:r>
      <w:r>
        <w:rPr>
          <w:rFonts w:hint="eastAsia" w:ascii="宋体" w:hAnsi="宋体" w:cs="宋体"/>
          <w:sz w:val="24"/>
          <w:szCs w:val="24"/>
        </w:rPr>
        <w:tab/>
      </w:r>
      <w:r>
        <w:rPr>
          <w:rFonts w:hint="eastAsia" w:ascii="宋体" w:hAnsi="宋体" w:cs="宋体"/>
          <w:sz w:val="24"/>
          <w:szCs w:val="24"/>
        </w:rPr>
        <w:fldChar w:fldCharType="end"/>
      </w:r>
      <w:r>
        <w:rPr>
          <w:rFonts w:hint="eastAsia" w:ascii="宋体" w:hAnsi="宋体" w:cs="宋体"/>
          <w:sz w:val="24"/>
          <w:szCs w:val="24"/>
        </w:rPr>
        <w:t>6</w:t>
      </w:r>
    </w:p>
    <w:p w14:paraId="704D5338">
      <w:pPr>
        <w:pStyle w:val="35"/>
        <w:tabs>
          <w:tab w:val="right" w:leader="dot" w:pos="8730"/>
        </w:tabs>
        <w:spacing w:line="440" w:lineRule="exact"/>
        <w:ind w:left="420"/>
        <w:rPr>
          <w:rFonts w:hint="eastAsia" w:ascii="宋体" w:hAnsi="宋体" w:eastAsia="宋体" w:cs="宋体"/>
          <w:sz w:val="24"/>
          <w:szCs w:val="24"/>
          <w:lang w:eastAsia="zh-CN"/>
        </w:rPr>
      </w:pPr>
      <w:r>
        <w:rPr>
          <w:rFonts w:hint="eastAsia" w:ascii="宋体" w:hAnsi="宋体" w:cs="宋体"/>
          <w:sz w:val="24"/>
          <w:szCs w:val="24"/>
        </w:rPr>
        <w:t>（三）评价方法</w:t>
      </w:r>
      <w:r>
        <w:rPr>
          <w:rFonts w:hint="eastAsia" w:ascii="宋体" w:hAnsi="宋体" w:cs="宋体"/>
          <w:sz w:val="24"/>
          <w:szCs w:val="24"/>
        </w:rPr>
        <w:tab/>
      </w:r>
      <w:r>
        <w:rPr>
          <w:rFonts w:hint="eastAsia" w:ascii="宋体" w:hAnsi="宋体" w:cs="宋体"/>
          <w:sz w:val="24"/>
          <w:szCs w:val="24"/>
          <w:lang w:val="en-US" w:eastAsia="zh-CN"/>
        </w:rPr>
        <w:t>6</w:t>
      </w:r>
    </w:p>
    <w:p w14:paraId="19540F3B">
      <w:pPr>
        <w:pStyle w:val="35"/>
        <w:tabs>
          <w:tab w:val="right" w:leader="dot" w:pos="8730"/>
        </w:tabs>
        <w:spacing w:line="440" w:lineRule="exact"/>
        <w:ind w:left="420"/>
        <w:rPr>
          <w:rFonts w:hint="eastAsia" w:ascii="宋体" w:hAnsi="宋体" w:eastAsia="宋体" w:cs="宋体"/>
          <w:sz w:val="24"/>
          <w:szCs w:val="24"/>
          <w:lang w:eastAsia="zh-CN"/>
        </w:rPr>
      </w:pPr>
      <w:r>
        <w:rPr>
          <w:rFonts w:hint="eastAsia" w:ascii="宋体" w:hAnsi="宋体" w:cs="宋体"/>
          <w:sz w:val="24"/>
          <w:szCs w:val="24"/>
        </w:rPr>
        <w:t>（四）评价程序</w:t>
      </w:r>
      <w:r>
        <w:rPr>
          <w:rFonts w:hint="eastAsia" w:ascii="宋体" w:hAnsi="宋体" w:cs="宋体"/>
          <w:sz w:val="24"/>
          <w:szCs w:val="24"/>
        </w:rPr>
        <w:tab/>
      </w:r>
      <w:r>
        <w:rPr>
          <w:rFonts w:hint="eastAsia" w:ascii="宋体" w:hAnsi="宋体" w:cs="宋体"/>
          <w:sz w:val="24"/>
          <w:szCs w:val="24"/>
          <w:lang w:val="en-US" w:eastAsia="zh-CN"/>
        </w:rPr>
        <w:t>6</w:t>
      </w:r>
    </w:p>
    <w:p w14:paraId="06948C63">
      <w:pPr>
        <w:pStyle w:val="34"/>
        <w:tabs>
          <w:tab w:val="right" w:leader="dot" w:pos="8730"/>
        </w:tabs>
        <w:spacing w:line="440" w:lineRule="exact"/>
        <w:rPr>
          <w:rFonts w:ascii="宋体" w:hAnsi="宋体" w:cs="宋体"/>
          <w:sz w:val="24"/>
          <w:szCs w:val="24"/>
        </w:rPr>
      </w:pPr>
      <w:r>
        <w:fldChar w:fldCharType="begin"/>
      </w:r>
      <w:r>
        <w:instrText xml:space="preserve"> HYPERLINK \l "_Toc3783" </w:instrText>
      </w:r>
      <w:r>
        <w:fldChar w:fldCharType="separate"/>
      </w:r>
      <w:r>
        <w:rPr>
          <w:rFonts w:hint="eastAsia" w:ascii="宋体" w:hAnsi="宋体" w:cs="宋体"/>
          <w:b/>
          <w:bCs/>
          <w:sz w:val="24"/>
          <w:szCs w:val="24"/>
        </w:rPr>
        <w:t>三、</w:t>
      </w:r>
      <w:r>
        <w:rPr>
          <w:rFonts w:ascii="宋体" w:hAnsi="宋体" w:cs="宋体"/>
          <w:b/>
          <w:bCs/>
          <w:sz w:val="24"/>
          <w:szCs w:val="24"/>
        </w:rPr>
        <w:t>项目绩效</w:t>
      </w:r>
      <w:r>
        <w:rPr>
          <w:rFonts w:hint="eastAsia" w:ascii="宋体" w:hAnsi="宋体" w:cs="宋体"/>
          <w:b/>
          <w:bCs/>
          <w:sz w:val="24"/>
          <w:szCs w:val="24"/>
        </w:rPr>
        <w:t>评价结果及</w:t>
      </w:r>
      <w:r>
        <w:rPr>
          <w:rFonts w:hint="eastAsia" w:ascii="宋体" w:hAnsi="宋体" w:cs="宋体"/>
          <w:b/>
          <w:bCs/>
          <w:sz w:val="24"/>
          <w:szCs w:val="24"/>
          <w:lang w:val="en-US" w:eastAsia="zh-CN"/>
        </w:rPr>
        <w:t>项目</w:t>
      </w:r>
      <w:r>
        <w:rPr>
          <w:rFonts w:hint="eastAsia" w:ascii="宋体" w:hAnsi="宋体" w:cs="宋体"/>
          <w:b/>
          <w:bCs/>
          <w:sz w:val="24"/>
          <w:szCs w:val="24"/>
        </w:rPr>
        <w:t>资金使用绩效分析</w:t>
      </w:r>
      <w:r>
        <w:rPr>
          <w:rFonts w:hint="eastAsia" w:ascii="宋体" w:hAnsi="宋体" w:cs="宋体"/>
          <w:b/>
          <w:bCs/>
          <w:sz w:val="24"/>
          <w:szCs w:val="24"/>
        </w:rPr>
        <w:tab/>
      </w:r>
      <w:r>
        <w:rPr>
          <w:rFonts w:hint="eastAsia" w:ascii="宋体" w:hAnsi="宋体" w:cs="宋体"/>
          <w:b/>
          <w:bCs/>
          <w:sz w:val="24"/>
          <w:szCs w:val="24"/>
          <w:lang w:val="en-US" w:eastAsia="zh-CN"/>
        </w:rPr>
        <w:t>7</w:t>
      </w:r>
      <w:r>
        <w:rPr>
          <w:rFonts w:hint="eastAsia" w:ascii="宋体" w:hAnsi="宋体" w:cs="宋体"/>
          <w:b/>
          <w:bCs/>
          <w:sz w:val="24"/>
          <w:szCs w:val="24"/>
        </w:rPr>
        <w:fldChar w:fldCharType="end"/>
      </w:r>
    </w:p>
    <w:p w14:paraId="0F13154E">
      <w:pPr>
        <w:pStyle w:val="35"/>
        <w:tabs>
          <w:tab w:val="right" w:leader="dot" w:pos="8730"/>
        </w:tabs>
        <w:spacing w:line="440" w:lineRule="exact"/>
        <w:ind w:left="420"/>
        <w:rPr>
          <w:rFonts w:ascii="宋体" w:hAnsi="宋体" w:cs="宋体"/>
          <w:sz w:val="24"/>
          <w:szCs w:val="24"/>
        </w:rPr>
      </w:pPr>
      <w:r>
        <w:fldChar w:fldCharType="begin"/>
      </w:r>
      <w:r>
        <w:instrText xml:space="preserve"> HYPERLINK \l "_Toc27687" </w:instrText>
      </w:r>
      <w:r>
        <w:fldChar w:fldCharType="separate"/>
      </w:r>
      <w:r>
        <w:rPr>
          <w:rFonts w:hint="eastAsia" w:ascii="宋体" w:hAnsi="宋体" w:cs="宋体"/>
          <w:sz w:val="24"/>
          <w:szCs w:val="24"/>
        </w:rPr>
        <w:t>（一）项目资金绩效评价结果</w:t>
      </w:r>
      <w:r>
        <w:rPr>
          <w:rFonts w:hint="eastAsia" w:ascii="宋体" w:hAnsi="宋体" w:cs="宋体"/>
          <w:sz w:val="24"/>
          <w:szCs w:val="24"/>
        </w:rPr>
        <w:tab/>
      </w:r>
      <w:r>
        <w:rPr>
          <w:rFonts w:hint="eastAsia" w:ascii="宋体" w:hAnsi="宋体" w:cs="宋体"/>
          <w:sz w:val="24"/>
          <w:szCs w:val="24"/>
          <w:lang w:val="en-US" w:eastAsia="zh-CN"/>
        </w:rPr>
        <w:t>7</w:t>
      </w:r>
      <w:r>
        <w:rPr>
          <w:rFonts w:hint="eastAsia" w:ascii="宋体" w:hAnsi="宋体" w:cs="宋体"/>
          <w:sz w:val="24"/>
          <w:szCs w:val="24"/>
        </w:rPr>
        <w:fldChar w:fldCharType="end"/>
      </w:r>
    </w:p>
    <w:p w14:paraId="6FA90502">
      <w:pPr>
        <w:pStyle w:val="35"/>
        <w:tabs>
          <w:tab w:val="right" w:leader="dot" w:pos="8730"/>
        </w:tabs>
        <w:spacing w:line="440" w:lineRule="exact"/>
        <w:ind w:left="420"/>
        <w:rPr>
          <w:rFonts w:ascii="宋体" w:hAnsi="宋体" w:cs="宋体"/>
          <w:sz w:val="24"/>
          <w:szCs w:val="24"/>
        </w:rPr>
      </w:pPr>
      <w:r>
        <w:fldChar w:fldCharType="begin"/>
      </w:r>
      <w:r>
        <w:instrText xml:space="preserve"> HYPERLINK \l "_Toc23598" </w:instrText>
      </w:r>
      <w:r>
        <w:fldChar w:fldCharType="separate"/>
      </w:r>
      <w:r>
        <w:rPr>
          <w:rFonts w:hint="eastAsia" w:ascii="宋体" w:hAnsi="宋体" w:cs="宋体"/>
          <w:sz w:val="24"/>
          <w:szCs w:val="24"/>
        </w:rPr>
        <w:t>（二）</w:t>
      </w:r>
      <w:r>
        <w:rPr>
          <w:rFonts w:hint="eastAsia" w:ascii="宋体" w:hAnsi="宋体" w:cs="宋体"/>
          <w:sz w:val="24"/>
          <w:szCs w:val="24"/>
          <w:lang w:val="en-US" w:eastAsia="zh-CN"/>
        </w:rPr>
        <w:t>项目</w:t>
      </w:r>
      <w:r>
        <w:rPr>
          <w:rFonts w:hint="eastAsia" w:ascii="宋体" w:hAnsi="宋体" w:cs="宋体"/>
          <w:sz w:val="24"/>
          <w:szCs w:val="24"/>
        </w:rPr>
        <w:t>资金使用绩效分析</w:t>
      </w:r>
      <w:r>
        <w:rPr>
          <w:rFonts w:hint="eastAsia" w:ascii="宋体" w:hAnsi="宋体" w:cs="宋体"/>
          <w:sz w:val="24"/>
          <w:szCs w:val="24"/>
        </w:rPr>
        <w:tab/>
      </w:r>
      <w:r>
        <w:rPr>
          <w:rFonts w:hint="eastAsia" w:ascii="宋体" w:hAnsi="宋体" w:cs="宋体"/>
          <w:sz w:val="24"/>
          <w:szCs w:val="24"/>
          <w:lang w:val="en-US" w:eastAsia="zh-CN"/>
        </w:rPr>
        <w:t>8</w:t>
      </w:r>
      <w:r>
        <w:rPr>
          <w:rFonts w:hint="eastAsia" w:ascii="宋体" w:hAnsi="宋体" w:cs="宋体"/>
          <w:sz w:val="24"/>
          <w:szCs w:val="24"/>
        </w:rPr>
        <w:fldChar w:fldCharType="end"/>
      </w:r>
    </w:p>
    <w:p w14:paraId="79E3B2C6">
      <w:pPr>
        <w:pStyle w:val="34"/>
        <w:tabs>
          <w:tab w:val="right" w:leader="dot" w:pos="8730"/>
        </w:tabs>
        <w:spacing w:line="440" w:lineRule="exact"/>
        <w:rPr>
          <w:rFonts w:hint="eastAsia" w:ascii="宋体" w:hAnsi="宋体" w:eastAsia="宋体" w:cs="宋体"/>
          <w:sz w:val="24"/>
          <w:szCs w:val="24"/>
          <w:lang w:eastAsia="zh-CN"/>
        </w:rPr>
      </w:pPr>
      <w:r>
        <w:fldChar w:fldCharType="begin"/>
      </w:r>
      <w:r>
        <w:instrText xml:space="preserve"> HYPERLINK \l "_Toc29077" </w:instrText>
      </w:r>
      <w:r>
        <w:fldChar w:fldCharType="separate"/>
      </w:r>
      <w:r>
        <w:rPr>
          <w:rFonts w:hint="eastAsia" w:ascii="宋体" w:hAnsi="宋体" w:cs="宋体"/>
          <w:b/>
          <w:bCs/>
          <w:sz w:val="24"/>
          <w:szCs w:val="24"/>
        </w:rPr>
        <w:t>四、绩效评价发现的问题</w:t>
      </w:r>
      <w:r>
        <w:rPr>
          <w:rFonts w:hint="eastAsia" w:ascii="宋体" w:hAnsi="宋体" w:cs="宋体"/>
          <w:b/>
          <w:bCs/>
          <w:sz w:val="24"/>
          <w:szCs w:val="24"/>
        </w:rPr>
        <w:tab/>
      </w:r>
      <w:r>
        <w:rPr>
          <w:rFonts w:hint="eastAsia" w:ascii="宋体" w:hAnsi="宋体" w:cs="宋体"/>
          <w:b/>
          <w:bCs/>
          <w:sz w:val="24"/>
          <w:szCs w:val="24"/>
        </w:rPr>
        <w:t>1</w:t>
      </w:r>
      <w:r>
        <w:rPr>
          <w:rFonts w:hint="eastAsia" w:ascii="宋体" w:hAnsi="宋体" w:cs="宋体"/>
          <w:b/>
          <w:bCs/>
          <w:sz w:val="24"/>
          <w:szCs w:val="24"/>
        </w:rPr>
        <w:fldChar w:fldCharType="end"/>
      </w:r>
      <w:r>
        <w:rPr>
          <w:rFonts w:hint="eastAsia" w:ascii="宋体" w:hAnsi="宋体" w:cs="宋体"/>
          <w:b/>
          <w:bCs/>
          <w:sz w:val="24"/>
          <w:szCs w:val="24"/>
          <w:lang w:val="en-US" w:eastAsia="zh-CN"/>
        </w:rPr>
        <w:t>1</w:t>
      </w:r>
    </w:p>
    <w:p w14:paraId="481C59AF">
      <w:pPr>
        <w:pStyle w:val="35"/>
        <w:tabs>
          <w:tab w:val="right" w:leader="dot" w:pos="8730"/>
        </w:tabs>
        <w:spacing w:line="440" w:lineRule="exact"/>
        <w:ind w:left="420"/>
        <w:rPr>
          <w:rFonts w:hint="eastAsia" w:ascii="宋体" w:hAnsi="宋体" w:eastAsia="宋体" w:cs="宋体"/>
          <w:sz w:val="24"/>
          <w:szCs w:val="24"/>
          <w:lang w:eastAsia="zh-CN"/>
        </w:rPr>
      </w:pPr>
      <w:r>
        <w:fldChar w:fldCharType="begin"/>
      </w:r>
      <w:r>
        <w:instrText xml:space="preserve"> HYPERLINK \l "_Toc18203" </w:instrText>
      </w:r>
      <w:r>
        <w:fldChar w:fldCharType="separate"/>
      </w:r>
      <w:r>
        <w:rPr>
          <w:rFonts w:hint="eastAsia" w:ascii="宋体" w:hAnsi="宋体" w:cs="宋体"/>
          <w:sz w:val="24"/>
          <w:szCs w:val="24"/>
        </w:rPr>
        <w:t>（一）生态圈人气聚集不足</w:t>
      </w:r>
      <w:r>
        <w:rPr>
          <w:rFonts w:hint="eastAsia" w:ascii="宋体" w:hAnsi="宋体" w:cs="宋体"/>
          <w:sz w:val="24"/>
          <w:szCs w:val="24"/>
        </w:rPr>
        <w:tab/>
      </w:r>
      <w:r>
        <w:rPr>
          <w:rFonts w:hint="eastAsia" w:ascii="宋体" w:hAnsi="宋体" w:cs="宋体"/>
          <w:sz w:val="24"/>
          <w:szCs w:val="24"/>
        </w:rPr>
        <w:t>1</w:t>
      </w:r>
      <w:r>
        <w:rPr>
          <w:rFonts w:hint="eastAsia" w:ascii="宋体" w:hAnsi="宋体" w:cs="宋体"/>
          <w:sz w:val="24"/>
          <w:szCs w:val="24"/>
        </w:rPr>
        <w:fldChar w:fldCharType="end"/>
      </w:r>
      <w:r>
        <w:rPr>
          <w:rFonts w:hint="eastAsia" w:ascii="宋体" w:hAnsi="宋体" w:cs="宋体"/>
          <w:sz w:val="24"/>
          <w:szCs w:val="24"/>
          <w:lang w:val="en-US" w:eastAsia="zh-CN"/>
        </w:rPr>
        <w:t>1</w:t>
      </w:r>
    </w:p>
    <w:p w14:paraId="33FA4D4A">
      <w:pPr>
        <w:pStyle w:val="35"/>
        <w:tabs>
          <w:tab w:val="right" w:leader="dot" w:pos="8730"/>
        </w:tabs>
        <w:spacing w:line="440" w:lineRule="exact"/>
        <w:ind w:left="420"/>
        <w:rPr>
          <w:rFonts w:ascii="宋体" w:hAnsi="宋体" w:cs="宋体"/>
          <w:sz w:val="24"/>
          <w:szCs w:val="24"/>
        </w:rPr>
      </w:pPr>
      <w:r>
        <w:fldChar w:fldCharType="begin"/>
      </w:r>
      <w:r>
        <w:instrText xml:space="preserve"> HYPERLINK \l "_Toc29380" </w:instrText>
      </w:r>
      <w:r>
        <w:fldChar w:fldCharType="separate"/>
      </w:r>
      <w:r>
        <w:rPr>
          <w:rFonts w:hint="eastAsia" w:ascii="宋体" w:hAnsi="宋体" w:cs="宋体"/>
          <w:sz w:val="24"/>
          <w:szCs w:val="24"/>
        </w:rPr>
        <w:t>（二）管理不规范，台账不清晰</w:t>
      </w:r>
      <w:r>
        <w:rPr>
          <w:rFonts w:hint="eastAsia" w:ascii="宋体" w:hAnsi="宋体" w:cs="宋体"/>
          <w:sz w:val="24"/>
          <w:szCs w:val="24"/>
        </w:rPr>
        <w:tab/>
      </w:r>
      <w:r>
        <w:rPr>
          <w:rFonts w:hint="eastAsia" w:ascii="宋体" w:hAnsi="宋体" w:cs="宋体"/>
          <w:sz w:val="24"/>
          <w:szCs w:val="24"/>
        </w:rPr>
        <w:t>1</w:t>
      </w:r>
      <w:r>
        <w:rPr>
          <w:rFonts w:hint="eastAsia" w:ascii="宋体" w:hAnsi="宋体" w:cs="宋体"/>
          <w:sz w:val="24"/>
          <w:szCs w:val="24"/>
          <w:lang w:val="en-US" w:eastAsia="zh-CN"/>
        </w:rPr>
        <w:t>1</w:t>
      </w:r>
      <w:r>
        <w:rPr>
          <w:rFonts w:hint="eastAsia" w:ascii="宋体" w:hAnsi="宋体" w:cs="宋体"/>
          <w:sz w:val="24"/>
          <w:szCs w:val="24"/>
        </w:rPr>
        <w:fldChar w:fldCharType="end"/>
      </w:r>
    </w:p>
    <w:p w14:paraId="635A3E6C">
      <w:pPr>
        <w:pStyle w:val="35"/>
        <w:tabs>
          <w:tab w:val="right" w:leader="dot" w:pos="8730"/>
        </w:tabs>
        <w:spacing w:line="440" w:lineRule="exact"/>
        <w:ind w:left="420"/>
        <w:rPr>
          <w:rFonts w:hint="eastAsia" w:ascii="宋体" w:hAnsi="宋体" w:eastAsia="宋体" w:cs="宋体"/>
          <w:sz w:val="24"/>
          <w:szCs w:val="24"/>
          <w:lang w:val="en-US" w:eastAsia="zh-CN"/>
        </w:rPr>
      </w:pPr>
      <w:r>
        <w:fldChar w:fldCharType="begin"/>
      </w:r>
      <w:r>
        <w:instrText xml:space="preserve"> HYPERLINK \l "_Toc25290" </w:instrText>
      </w:r>
      <w:r>
        <w:fldChar w:fldCharType="separate"/>
      </w:r>
      <w:r>
        <w:rPr>
          <w:rFonts w:hint="eastAsia" w:ascii="宋体" w:hAnsi="宋体" w:cs="宋体"/>
          <w:sz w:val="24"/>
          <w:szCs w:val="24"/>
        </w:rPr>
        <w:t>（三）绩效管理指标较少，不利于后期绩效跟踪评价</w:t>
      </w:r>
      <w:r>
        <w:rPr>
          <w:rFonts w:hint="eastAsia" w:ascii="宋体" w:hAnsi="宋体" w:cs="宋体"/>
          <w:sz w:val="24"/>
          <w:szCs w:val="24"/>
        </w:rPr>
        <w:tab/>
      </w:r>
      <w:r>
        <w:rPr>
          <w:rFonts w:ascii="宋体" w:hAnsi="宋体" w:cs="宋体"/>
          <w:sz w:val="24"/>
          <w:szCs w:val="24"/>
        </w:rPr>
        <w:t>1</w:t>
      </w:r>
      <w:r>
        <w:rPr>
          <w:rFonts w:ascii="宋体" w:hAnsi="宋体" w:cs="宋体"/>
          <w:sz w:val="24"/>
          <w:szCs w:val="24"/>
        </w:rPr>
        <w:fldChar w:fldCharType="end"/>
      </w:r>
      <w:r>
        <w:rPr>
          <w:rFonts w:hint="eastAsia" w:ascii="宋体" w:hAnsi="宋体" w:cs="宋体"/>
          <w:sz w:val="24"/>
          <w:szCs w:val="24"/>
          <w:lang w:val="en-US" w:eastAsia="zh-CN"/>
        </w:rPr>
        <w:t>1</w:t>
      </w:r>
    </w:p>
    <w:p w14:paraId="5A73F772">
      <w:pPr>
        <w:pStyle w:val="35"/>
        <w:tabs>
          <w:tab w:val="right" w:leader="dot" w:pos="8730"/>
        </w:tabs>
        <w:spacing w:line="440" w:lineRule="exact"/>
        <w:ind w:left="0" w:leftChars="0"/>
        <w:rPr>
          <w:rFonts w:ascii="宋体" w:hAnsi="宋体" w:cs="宋体"/>
          <w:b/>
          <w:bCs/>
          <w:sz w:val="24"/>
          <w:szCs w:val="24"/>
        </w:rPr>
      </w:pPr>
      <w:r>
        <w:fldChar w:fldCharType="begin"/>
      </w:r>
      <w:r>
        <w:instrText xml:space="preserve"> HYPERLINK \l "_Toc14462" </w:instrText>
      </w:r>
      <w:r>
        <w:fldChar w:fldCharType="separate"/>
      </w:r>
      <w:r>
        <w:rPr>
          <w:rFonts w:hint="eastAsia" w:ascii="宋体" w:hAnsi="宋体" w:cs="宋体"/>
          <w:b/>
          <w:bCs/>
          <w:sz w:val="24"/>
          <w:szCs w:val="24"/>
        </w:rPr>
        <w:t>五、绩效评价建议</w:t>
      </w:r>
      <w:r>
        <w:rPr>
          <w:rFonts w:hint="eastAsia" w:ascii="宋体" w:hAnsi="宋体" w:cs="宋体"/>
          <w:b/>
          <w:bCs/>
          <w:sz w:val="24"/>
          <w:szCs w:val="24"/>
        </w:rPr>
        <w:tab/>
      </w:r>
      <w:r>
        <w:rPr>
          <w:rFonts w:hint="eastAsia" w:ascii="宋体" w:hAnsi="宋体" w:cs="宋体"/>
          <w:b/>
          <w:bCs/>
          <w:sz w:val="24"/>
          <w:szCs w:val="24"/>
        </w:rPr>
        <w:t>1</w:t>
      </w:r>
      <w:r>
        <w:rPr>
          <w:rFonts w:hint="eastAsia" w:ascii="宋体" w:hAnsi="宋体" w:cs="宋体"/>
          <w:b/>
          <w:bCs/>
          <w:sz w:val="24"/>
          <w:szCs w:val="24"/>
          <w:lang w:val="en-US" w:eastAsia="zh-CN"/>
        </w:rPr>
        <w:t>1</w:t>
      </w:r>
      <w:r>
        <w:rPr>
          <w:rFonts w:hint="eastAsia" w:ascii="宋体" w:hAnsi="宋体" w:cs="宋体"/>
          <w:b/>
          <w:bCs/>
          <w:sz w:val="24"/>
          <w:szCs w:val="24"/>
        </w:rPr>
        <w:fldChar w:fldCharType="end"/>
      </w:r>
    </w:p>
    <w:p w14:paraId="76A295AC">
      <w:pPr>
        <w:pStyle w:val="34"/>
        <w:numPr>
          <w:ilvl w:val="0"/>
          <w:numId w:val="0"/>
        </w:numPr>
        <w:tabs>
          <w:tab w:val="right" w:leader="dot" w:pos="8730"/>
        </w:tabs>
        <w:spacing w:line="440" w:lineRule="exact"/>
        <w:ind w:firstLine="480" w:firstLineChars="200"/>
        <w:rPr>
          <w:rFonts w:hint="eastAsia" w:ascii="宋体" w:hAnsi="宋体" w:eastAsia="宋体" w:cs="宋体"/>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一</w:t>
      </w:r>
      <w:r>
        <w:rPr>
          <w:rFonts w:hint="eastAsia" w:ascii="宋体" w:hAnsi="宋体" w:cs="宋体"/>
          <w:sz w:val="24"/>
          <w:szCs w:val="24"/>
          <w:lang w:eastAsia="zh-CN"/>
        </w:rPr>
        <w:t>）</w:t>
      </w:r>
      <w:r>
        <w:rPr>
          <w:rFonts w:hint="eastAsia" w:ascii="宋体" w:hAnsi="宋体" w:cs="宋体"/>
          <w:sz w:val="24"/>
          <w:szCs w:val="24"/>
        </w:rPr>
        <w:t>完善项目绩效管理，加强项目跟踪监督</w:t>
      </w:r>
      <w:r>
        <w:rPr>
          <w:rFonts w:hint="eastAsia" w:ascii="宋体" w:hAnsi="宋体" w:cs="宋体"/>
          <w:sz w:val="24"/>
          <w:szCs w:val="24"/>
        </w:rPr>
        <w:tab/>
      </w:r>
      <w:r>
        <w:rPr>
          <w:rFonts w:ascii="宋体" w:hAnsi="宋体" w:cs="宋体"/>
          <w:sz w:val="24"/>
          <w:szCs w:val="24"/>
        </w:rPr>
        <w:t>1</w:t>
      </w:r>
      <w:r>
        <w:rPr>
          <w:rFonts w:hint="eastAsia" w:ascii="宋体" w:hAnsi="宋体" w:cs="宋体"/>
          <w:sz w:val="24"/>
          <w:szCs w:val="24"/>
          <w:lang w:val="en-US" w:eastAsia="zh-CN"/>
        </w:rPr>
        <w:t>1</w:t>
      </w:r>
    </w:p>
    <w:p w14:paraId="018B142F">
      <w:pPr>
        <w:pStyle w:val="34"/>
        <w:numPr>
          <w:ilvl w:val="0"/>
          <w:numId w:val="0"/>
        </w:numPr>
        <w:tabs>
          <w:tab w:val="right" w:leader="dot" w:pos="8730"/>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bidi="ar-SA"/>
        </w:rPr>
        <w:t>（二）严格执行财务核算，加强资金监管</w:t>
      </w:r>
      <w:r>
        <w:rPr>
          <w:rFonts w:hint="eastAsia" w:ascii="宋体" w:hAnsi="宋体" w:cs="宋体"/>
          <w:sz w:val="24"/>
          <w:szCs w:val="24"/>
        </w:rPr>
        <w:tab/>
      </w:r>
      <w:r>
        <w:rPr>
          <w:rFonts w:ascii="宋体" w:hAnsi="宋体" w:cs="宋体"/>
          <w:sz w:val="24"/>
          <w:szCs w:val="24"/>
        </w:rPr>
        <w:t>1</w:t>
      </w:r>
      <w:r>
        <w:rPr>
          <w:rFonts w:hint="eastAsia" w:ascii="宋体" w:hAnsi="宋体" w:cs="宋体"/>
          <w:sz w:val="24"/>
          <w:szCs w:val="24"/>
          <w:lang w:val="en-US" w:eastAsia="zh-CN"/>
        </w:rPr>
        <w:t>2</w:t>
      </w:r>
    </w:p>
    <w:p w14:paraId="3B75ED6A">
      <w:pPr>
        <w:pStyle w:val="34"/>
        <w:numPr>
          <w:ilvl w:val="0"/>
          <w:numId w:val="0"/>
        </w:numPr>
        <w:tabs>
          <w:tab w:val="right" w:leader="dot" w:pos="8730"/>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bidi="ar-SA"/>
        </w:rPr>
        <w:t>（三）继续出台扶持政策</w:t>
      </w:r>
      <w:r>
        <w:rPr>
          <w:rFonts w:hint="eastAsia" w:ascii="宋体" w:hAnsi="宋体" w:cs="宋体"/>
          <w:sz w:val="24"/>
          <w:szCs w:val="24"/>
        </w:rPr>
        <w:tab/>
      </w:r>
      <w:r>
        <w:rPr>
          <w:rFonts w:hint="eastAsia" w:ascii="宋体" w:hAnsi="宋体" w:cs="宋体"/>
          <w:sz w:val="24"/>
          <w:szCs w:val="24"/>
        </w:rPr>
        <w:t>1</w:t>
      </w:r>
      <w:r>
        <w:rPr>
          <w:rFonts w:hint="eastAsia" w:ascii="宋体" w:hAnsi="宋体" w:cs="宋体"/>
          <w:sz w:val="24"/>
          <w:szCs w:val="24"/>
          <w:lang w:val="en-US" w:eastAsia="zh-CN"/>
        </w:rPr>
        <w:t>2</w:t>
      </w:r>
    </w:p>
    <w:p w14:paraId="07075E47">
      <w:pPr>
        <w:pStyle w:val="34"/>
        <w:numPr>
          <w:ilvl w:val="0"/>
          <w:numId w:val="0"/>
        </w:numPr>
        <w:tabs>
          <w:tab w:val="right" w:leader="dot" w:pos="8730"/>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bidi="ar-SA"/>
        </w:rPr>
        <w:t>（四）提高项目实施单位绩效自评质量</w:t>
      </w:r>
      <w:r>
        <w:rPr>
          <w:rFonts w:hint="eastAsia" w:ascii="宋体" w:hAnsi="宋体" w:cs="宋体"/>
          <w:sz w:val="24"/>
          <w:szCs w:val="24"/>
        </w:rPr>
        <w:tab/>
      </w:r>
      <w:r>
        <w:rPr>
          <w:rFonts w:ascii="宋体" w:hAnsi="宋体" w:cs="宋体"/>
          <w:sz w:val="24"/>
          <w:szCs w:val="24"/>
        </w:rPr>
        <w:t>1</w:t>
      </w:r>
      <w:r>
        <w:rPr>
          <w:rFonts w:hint="eastAsia" w:ascii="宋体" w:hAnsi="宋体" w:cs="宋体"/>
          <w:sz w:val="24"/>
          <w:szCs w:val="24"/>
          <w:lang w:val="en-US" w:eastAsia="zh-CN"/>
        </w:rPr>
        <w:t>3</w:t>
      </w:r>
    </w:p>
    <w:p w14:paraId="3A953E4A">
      <w:pPr>
        <w:pStyle w:val="34"/>
        <w:tabs>
          <w:tab w:val="right" w:leader="dot" w:pos="8730"/>
        </w:tabs>
        <w:spacing w:line="440" w:lineRule="exact"/>
        <w:rPr>
          <w:rFonts w:ascii="宋体" w:hAnsi="宋体" w:cs="宋体"/>
          <w:b/>
          <w:bCs/>
          <w:sz w:val="24"/>
          <w:szCs w:val="24"/>
        </w:rPr>
      </w:pPr>
      <w:r>
        <w:fldChar w:fldCharType="begin"/>
      </w:r>
      <w:r>
        <w:instrText xml:space="preserve"> HYPERLINK \l "_Toc14462" </w:instrText>
      </w:r>
      <w:r>
        <w:fldChar w:fldCharType="separate"/>
      </w:r>
      <w:r>
        <w:rPr>
          <w:rFonts w:hint="eastAsia" w:ascii="宋体" w:hAnsi="宋体" w:cs="宋体"/>
          <w:b/>
          <w:bCs/>
          <w:sz w:val="24"/>
          <w:szCs w:val="24"/>
        </w:rPr>
        <w:t>六、说明</w:t>
      </w:r>
      <w:r>
        <w:rPr>
          <w:rFonts w:hint="eastAsia" w:ascii="宋体" w:hAnsi="宋体" w:cs="宋体"/>
          <w:b/>
          <w:bCs/>
          <w:sz w:val="24"/>
          <w:szCs w:val="24"/>
        </w:rPr>
        <w:tab/>
      </w:r>
      <w:r>
        <w:rPr>
          <w:rFonts w:hint="eastAsia" w:ascii="宋体" w:hAnsi="宋体" w:cs="宋体"/>
          <w:b/>
          <w:bCs/>
          <w:sz w:val="24"/>
          <w:szCs w:val="24"/>
        </w:rPr>
        <w:t>1</w:t>
      </w:r>
      <w:r>
        <w:rPr>
          <w:rFonts w:hint="eastAsia" w:ascii="宋体" w:hAnsi="宋体" w:cs="宋体"/>
          <w:b/>
          <w:bCs/>
          <w:sz w:val="24"/>
          <w:szCs w:val="24"/>
          <w:lang w:val="en-US" w:eastAsia="zh-CN"/>
        </w:rPr>
        <w:t>4</w:t>
      </w:r>
      <w:r>
        <w:rPr>
          <w:rFonts w:ascii="宋体" w:hAnsi="宋体" w:cs="宋体"/>
          <w:b/>
          <w:bCs/>
          <w:sz w:val="24"/>
          <w:szCs w:val="24"/>
        </w:rPr>
        <w:fldChar w:fldCharType="end"/>
      </w:r>
    </w:p>
    <w:p w14:paraId="7BDD77BE">
      <w:pPr>
        <w:pStyle w:val="34"/>
        <w:tabs>
          <w:tab w:val="right" w:leader="dot" w:pos="8730"/>
        </w:tabs>
        <w:spacing w:line="440" w:lineRule="exact"/>
        <w:rPr>
          <w:rFonts w:ascii="仿宋" w:hAnsi="仿宋" w:eastAsia="仿宋"/>
          <w:sz w:val="30"/>
          <w:szCs w:val="30"/>
        </w:rPr>
      </w:pPr>
      <w:r>
        <w:fldChar w:fldCharType="begin"/>
      </w:r>
      <w:r>
        <w:instrText xml:space="preserve"> HYPERLINK \l "_Toc18205" </w:instrText>
      </w:r>
      <w:r>
        <w:fldChar w:fldCharType="separate"/>
      </w:r>
      <w:r>
        <w:rPr>
          <w:rFonts w:hint="eastAsia" w:ascii="宋体" w:hAnsi="宋体" w:cs="宋体"/>
          <w:b/>
          <w:bCs/>
          <w:sz w:val="24"/>
          <w:szCs w:val="24"/>
        </w:rPr>
        <w:t>附件</w:t>
      </w:r>
      <w:r>
        <w:rPr>
          <w:rFonts w:hint="eastAsia" w:ascii="宋体" w:hAnsi="宋体" w:cs="宋体"/>
          <w:b/>
          <w:bCs/>
          <w:sz w:val="24"/>
          <w:szCs w:val="24"/>
          <w:lang w:val="en-US" w:eastAsia="zh-CN"/>
        </w:rPr>
        <w:t>1.</w:t>
      </w:r>
      <w:r>
        <w:rPr>
          <w:rFonts w:hint="eastAsia" w:ascii="宋体" w:hAnsi="宋体" w:cs="宋体"/>
          <w:b/>
          <w:bCs/>
          <w:sz w:val="24"/>
          <w:szCs w:val="24"/>
          <w:lang w:eastAsia="zh-CN"/>
        </w:rPr>
        <w:t>龙岩跨境电商生态圈</w:t>
      </w:r>
      <w:r>
        <w:rPr>
          <w:rFonts w:hint="eastAsia" w:ascii="宋体" w:hAnsi="宋体" w:cs="宋体"/>
          <w:b/>
          <w:bCs/>
          <w:sz w:val="24"/>
          <w:szCs w:val="24"/>
        </w:rPr>
        <w:t>资金使用绩效评价指标评分表</w:t>
      </w:r>
      <w:r>
        <w:rPr>
          <w:rFonts w:hint="eastAsia" w:ascii="宋体" w:hAnsi="宋体" w:cs="宋体"/>
          <w:b/>
          <w:bCs/>
          <w:sz w:val="24"/>
          <w:szCs w:val="24"/>
        </w:rPr>
        <w:fldChar w:fldCharType="end"/>
      </w:r>
    </w:p>
    <w:p w14:paraId="44104CBF">
      <w:pPr>
        <w:tabs>
          <w:tab w:val="left" w:pos="8931"/>
        </w:tabs>
        <w:spacing w:line="520" w:lineRule="exact"/>
        <w:jc w:val="center"/>
        <w:rPr>
          <w:rFonts w:hint="eastAsia" w:ascii="黑体" w:hAnsi="黑体" w:eastAsia="黑体"/>
          <w:sz w:val="36"/>
          <w:szCs w:val="36"/>
          <w:lang w:eastAsia="zh-CN"/>
        </w:rPr>
      </w:pPr>
      <w:bookmarkStart w:id="0" w:name="_Toc24194"/>
    </w:p>
    <w:p w14:paraId="2D6BEEB2">
      <w:pPr>
        <w:tabs>
          <w:tab w:val="left" w:pos="8931"/>
        </w:tabs>
        <w:spacing w:line="520" w:lineRule="exact"/>
        <w:jc w:val="center"/>
        <w:rPr>
          <w:rFonts w:hint="eastAsia" w:ascii="黑体" w:hAnsi="黑体" w:eastAsia="黑体"/>
          <w:sz w:val="36"/>
          <w:szCs w:val="36"/>
          <w:lang w:eastAsia="zh-CN"/>
        </w:rPr>
      </w:pPr>
    </w:p>
    <w:p w14:paraId="64D925EA">
      <w:pPr>
        <w:tabs>
          <w:tab w:val="left" w:pos="8931"/>
        </w:tabs>
        <w:spacing w:line="520" w:lineRule="exact"/>
        <w:jc w:val="center"/>
        <w:rPr>
          <w:rFonts w:hint="eastAsia" w:ascii="黑体" w:hAnsi="黑体" w:eastAsia="黑体"/>
          <w:sz w:val="36"/>
          <w:szCs w:val="36"/>
          <w:lang w:eastAsia="zh-CN"/>
        </w:rPr>
      </w:pPr>
    </w:p>
    <w:p w14:paraId="48662995">
      <w:pPr>
        <w:tabs>
          <w:tab w:val="left" w:pos="8931"/>
        </w:tabs>
        <w:spacing w:line="520" w:lineRule="exact"/>
        <w:jc w:val="center"/>
        <w:rPr>
          <w:rFonts w:ascii="黑体" w:hAnsi="黑体" w:eastAsia="黑体"/>
          <w:sz w:val="36"/>
          <w:szCs w:val="36"/>
        </w:rPr>
      </w:pPr>
      <w:r>
        <w:rPr>
          <w:rFonts w:hint="eastAsia" w:ascii="黑体" w:hAnsi="黑体" w:eastAsia="黑体"/>
          <w:sz w:val="36"/>
          <w:szCs w:val="36"/>
          <w:lang w:eastAsia="zh-CN"/>
        </w:rPr>
        <w:t>龙岩跨境电商生态圈</w:t>
      </w:r>
      <w:r>
        <w:rPr>
          <w:rFonts w:hint="eastAsia" w:ascii="黑体" w:hAnsi="黑体" w:eastAsia="黑体"/>
          <w:sz w:val="36"/>
          <w:szCs w:val="36"/>
        </w:rPr>
        <w:t>建设专项资金使用</w:t>
      </w:r>
    </w:p>
    <w:p w14:paraId="31DFC056">
      <w:pPr>
        <w:tabs>
          <w:tab w:val="left" w:pos="8931"/>
        </w:tabs>
        <w:spacing w:line="520" w:lineRule="exact"/>
        <w:jc w:val="center"/>
        <w:rPr>
          <w:rFonts w:ascii="黑体" w:hAnsi="黑体" w:eastAsia="黑体"/>
          <w:spacing w:val="26"/>
          <w:sz w:val="36"/>
          <w:szCs w:val="36"/>
        </w:rPr>
      </w:pPr>
      <w:r>
        <w:rPr>
          <w:rFonts w:hint="eastAsia" w:ascii="黑体" w:hAnsi="黑体" w:eastAsia="黑体"/>
          <w:sz w:val="36"/>
          <w:szCs w:val="36"/>
        </w:rPr>
        <w:t>第三方绩效评价报告</w:t>
      </w:r>
      <w:bookmarkEnd w:id="0"/>
    </w:p>
    <w:p w14:paraId="17D56C87">
      <w:pPr>
        <w:tabs>
          <w:tab w:val="left" w:pos="8931"/>
        </w:tabs>
        <w:spacing w:line="480" w:lineRule="exact"/>
        <w:jc w:val="right"/>
        <w:rPr>
          <w:rFonts w:ascii="宋体" w:hAnsi="宋体"/>
          <w:bCs/>
          <w:sz w:val="28"/>
          <w:szCs w:val="28"/>
        </w:rPr>
      </w:pPr>
    </w:p>
    <w:p w14:paraId="3E92C591">
      <w:pPr>
        <w:tabs>
          <w:tab w:val="left" w:pos="8931"/>
        </w:tabs>
        <w:spacing w:line="480" w:lineRule="exact"/>
        <w:jc w:val="right"/>
        <w:rPr>
          <w:rFonts w:ascii="宋体" w:hAnsi="宋体"/>
          <w:bCs/>
          <w:sz w:val="28"/>
          <w:szCs w:val="28"/>
        </w:rPr>
      </w:pPr>
      <w:r>
        <w:rPr>
          <w:rFonts w:hint="eastAsia" w:ascii="宋体" w:hAnsi="宋体"/>
          <w:bCs/>
          <w:sz w:val="28"/>
          <w:szCs w:val="28"/>
        </w:rPr>
        <w:t>正易所咨字〔20</w:t>
      </w:r>
      <w:r>
        <w:rPr>
          <w:rFonts w:hint="eastAsia" w:ascii="宋体" w:hAnsi="宋体"/>
          <w:bCs/>
          <w:sz w:val="28"/>
          <w:szCs w:val="28"/>
          <w:lang w:val="en-US" w:eastAsia="zh-CN"/>
        </w:rPr>
        <w:t>24</w:t>
      </w:r>
      <w:r>
        <w:rPr>
          <w:rFonts w:hint="eastAsia" w:ascii="宋体" w:hAnsi="宋体"/>
          <w:bCs/>
          <w:sz w:val="28"/>
          <w:szCs w:val="28"/>
        </w:rPr>
        <w:t>〕第00</w:t>
      </w:r>
      <w:r>
        <w:rPr>
          <w:rFonts w:hint="eastAsia" w:ascii="宋体" w:hAnsi="宋体"/>
          <w:bCs/>
          <w:sz w:val="28"/>
          <w:szCs w:val="28"/>
          <w:lang w:val="en-US" w:eastAsia="zh-CN"/>
        </w:rPr>
        <w:t>2</w:t>
      </w:r>
      <w:r>
        <w:rPr>
          <w:rFonts w:ascii="宋体" w:hAnsi="宋体"/>
          <w:bCs/>
          <w:sz w:val="28"/>
          <w:szCs w:val="28"/>
        </w:rPr>
        <w:t>号</w:t>
      </w:r>
    </w:p>
    <w:p w14:paraId="79D6EBA2">
      <w:pPr>
        <w:tabs>
          <w:tab w:val="left" w:pos="8931"/>
        </w:tabs>
        <w:spacing w:line="520" w:lineRule="exact"/>
        <w:rPr>
          <w:rFonts w:ascii="宋体" w:hAnsi="宋体"/>
          <w:b/>
          <w:bCs/>
          <w:kern w:val="0"/>
          <w:sz w:val="28"/>
          <w:szCs w:val="28"/>
        </w:rPr>
      </w:pPr>
      <w:bookmarkStart w:id="1" w:name="_Toc16992"/>
      <w:r>
        <w:rPr>
          <w:rFonts w:hint="eastAsia" w:ascii="宋体" w:hAnsi="宋体"/>
          <w:b/>
          <w:bCs/>
          <w:sz w:val="28"/>
          <w:szCs w:val="28"/>
        </w:rPr>
        <w:t>龙岩</w:t>
      </w:r>
      <w:r>
        <w:rPr>
          <w:rFonts w:hint="eastAsia" w:ascii="宋体" w:hAnsi="宋体"/>
          <w:b/>
          <w:bCs/>
          <w:sz w:val="28"/>
          <w:szCs w:val="28"/>
          <w:lang w:val="en-US" w:eastAsia="zh-CN"/>
        </w:rPr>
        <w:t>高新技术产业开发区（龙岩经济技术开发区）财政金融局</w:t>
      </w:r>
      <w:r>
        <w:rPr>
          <w:rFonts w:ascii="宋体" w:hAnsi="宋体"/>
          <w:b/>
          <w:bCs/>
          <w:sz w:val="28"/>
          <w:szCs w:val="28"/>
        </w:rPr>
        <w:t>：</w:t>
      </w:r>
      <w:bookmarkEnd w:id="1"/>
    </w:p>
    <w:p w14:paraId="16117702">
      <w:pPr>
        <w:spacing w:line="520" w:lineRule="exact"/>
        <w:ind w:firstLine="660" w:firstLineChars="236"/>
        <w:rPr>
          <w:rFonts w:ascii="宋体" w:hAnsi="宋体"/>
          <w:sz w:val="28"/>
          <w:szCs w:val="28"/>
        </w:rPr>
      </w:pPr>
      <w:r>
        <w:rPr>
          <w:rFonts w:hint="eastAsia" w:ascii="宋体" w:hAnsi="宋体"/>
          <w:sz w:val="28"/>
          <w:szCs w:val="28"/>
        </w:rPr>
        <w:t>我们接受委托，依据</w:t>
      </w:r>
      <w:r>
        <w:rPr>
          <w:rFonts w:hint="eastAsia" w:ascii="宋体" w:hAnsi="宋体"/>
          <w:sz w:val="28"/>
          <w:szCs w:val="28"/>
          <w:lang w:val="en-US" w:eastAsia="zh-CN"/>
        </w:rPr>
        <w:t>龙岩高新区（经开区）财政金融局关于开展跨境电商生态圈费用项目绩效评</w:t>
      </w:r>
      <w:bookmarkStart w:id="4" w:name="_GoBack"/>
      <w:bookmarkEnd w:id="4"/>
      <w:r>
        <w:rPr>
          <w:rFonts w:hint="eastAsia" w:ascii="宋体" w:hAnsi="宋体"/>
          <w:sz w:val="28"/>
          <w:szCs w:val="28"/>
          <w:lang w:val="en-US" w:eastAsia="zh-CN"/>
        </w:rPr>
        <w:t>价工作的通知</w:t>
      </w:r>
      <w:r>
        <w:rPr>
          <w:rFonts w:hint="eastAsia" w:ascii="宋体" w:hAnsi="宋体"/>
          <w:sz w:val="28"/>
          <w:szCs w:val="28"/>
        </w:rPr>
        <w:t>，遵循科学性、规范性、客观性、公正性的原则，涵盖财政支出的全过程，实施了相关绩效评价程序，程序包括不限于复核项目实施单位自评报告，现场收集、检查相关资料等程序，并根据评价结果编写本报告。</w:t>
      </w:r>
    </w:p>
    <w:p w14:paraId="251BDE63">
      <w:pPr>
        <w:spacing w:line="520" w:lineRule="exact"/>
        <w:ind w:firstLine="663" w:firstLineChars="236"/>
        <w:rPr>
          <w:rFonts w:ascii="宋体" w:hAnsi="宋体"/>
          <w:b/>
          <w:sz w:val="28"/>
          <w:szCs w:val="28"/>
        </w:rPr>
      </w:pPr>
      <w:r>
        <w:rPr>
          <w:rFonts w:ascii="宋体" w:hAnsi="宋体"/>
          <w:b/>
          <w:sz w:val="28"/>
          <w:szCs w:val="28"/>
        </w:rPr>
        <w:t>一、项目</w:t>
      </w:r>
      <w:r>
        <w:rPr>
          <w:rFonts w:hint="eastAsia" w:ascii="宋体" w:hAnsi="宋体"/>
          <w:b/>
          <w:sz w:val="28"/>
          <w:szCs w:val="28"/>
        </w:rPr>
        <w:t>概况</w:t>
      </w:r>
    </w:p>
    <w:p w14:paraId="1640BDFC">
      <w:pPr>
        <w:spacing w:line="520" w:lineRule="exact"/>
        <w:ind w:firstLine="663" w:firstLineChars="236"/>
        <w:rPr>
          <w:rFonts w:ascii="宋体" w:hAnsi="宋体"/>
          <w:b/>
          <w:sz w:val="28"/>
          <w:szCs w:val="28"/>
        </w:rPr>
      </w:pPr>
      <w:r>
        <w:rPr>
          <w:rFonts w:hint="eastAsia" w:ascii="宋体" w:hAnsi="宋体"/>
          <w:b/>
          <w:sz w:val="28"/>
          <w:szCs w:val="28"/>
        </w:rPr>
        <w:t>（一）</w:t>
      </w:r>
      <w:r>
        <w:rPr>
          <w:rFonts w:ascii="宋体" w:hAnsi="宋体"/>
          <w:b/>
          <w:sz w:val="28"/>
          <w:szCs w:val="28"/>
        </w:rPr>
        <w:t>项目</w:t>
      </w:r>
      <w:r>
        <w:rPr>
          <w:rFonts w:hint="eastAsia" w:ascii="宋体" w:hAnsi="宋体"/>
          <w:b/>
          <w:sz w:val="28"/>
          <w:szCs w:val="28"/>
        </w:rPr>
        <w:t>背景</w:t>
      </w:r>
    </w:p>
    <w:p w14:paraId="3EFE9B04">
      <w:pPr>
        <w:shd w:val="clear"/>
        <w:spacing w:line="520" w:lineRule="exact"/>
        <w:ind w:firstLine="560" w:firstLineChars="200"/>
        <w:rPr>
          <w:rFonts w:hint="eastAsia" w:ascii="宋体" w:hAnsi="宋体"/>
          <w:sz w:val="28"/>
          <w:szCs w:val="28"/>
        </w:rPr>
      </w:pPr>
      <w:r>
        <w:rPr>
          <w:rFonts w:hint="eastAsia" w:ascii="宋体" w:hAnsi="宋体"/>
          <w:sz w:val="28"/>
          <w:szCs w:val="28"/>
        </w:rPr>
        <w:t>　2020年4月，国务院批复设立中国（龙岩）级跨境电子商务综合试验区，</w:t>
      </w:r>
      <w:r>
        <w:rPr>
          <w:rFonts w:hint="eastAsia" w:ascii="宋体" w:hAnsi="宋体"/>
          <w:sz w:val="28"/>
          <w:szCs w:val="28"/>
          <w:lang w:val="en-US" w:eastAsia="zh-CN"/>
        </w:rPr>
        <w:t>龙岩市</w:t>
      </w:r>
      <w:r>
        <w:rPr>
          <w:rFonts w:hint="eastAsia" w:ascii="宋体" w:hAnsi="宋体"/>
          <w:sz w:val="28"/>
          <w:szCs w:val="28"/>
        </w:rPr>
        <w:t>成为全国105个跨境电商综试区之一，龙岩市跨境电子商务发展迎来了新的机遇。2021年1月24日，国务院印发《关于新时代支持革命老区振兴发展的意见》（国发〔2021〕3号），明确提出“建设好龙岩跨境电商综合试验区”。在中央、省、市各级政府及部门的高度重视和合力推动下，综试区建设取得了一定进展。2021年3月，实现9610海外直购进口和一般出口、9710跨境电商B2B直接出口、9810跨境电商B2B出口海外仓等跨境电商进出口各类模式的正式开通，</w:t>
      </w:r>
      <w:r>
        <w:rPr>
          <w:rFonts w:hint="eastAsia" w:ascii="宋体" w:hAnsi="宋体"/>
          <w:sz w:val="28"/>
          <w:szCs w:val="28"/>
          <w:lang w:val="en-US" w:eastAsia="zh-CN"/>
        </w:rPr>
        <w:t>2021年</w:t>
      </w:r>
      <w:r>
        <w:rPr>
          <w:rFonts w:hint="eastAsia" w:ascii="宋体" w:hAnsi="宋体"/>
          <w:sz w:val="28"/>
          <w:szCs w:val="28"/>
        </w:rPr>
        <w:t>6月线上公共服务平台（含门户网站）正式上线，</w:t>
      </w:r>
      <w:r>
        <w:rPr>
          <w:rFonts w:hint="eastAsia" w:ascii="宋体" w:hAnsi="宋体"/>
          <w:sz w:val="28"/>
          <w:szCs w:val="28"/>
          <w:lang w:val="en-US" w:eastAsia="zh-CN"/>
        </w:rPr>
        <w:t>2021年</w:t>
      </w:r>
      <w:r>
        <w:rPr>
          <w:rFonts w:hint="eastAsia" w:ascii="宋体" w:hAnsi="宋体"/>
          <w:sz w:val="28"/>
          <w:szCs w:val="28"/>
        </w:rPr>
        <w:t>7月下旬线下龙岩跨境电商生态圈项目正式启动运营。2021年6月，</w:t>
      </w:r>
      <w:r>
        <w:rPr>
          <w:rFonts w:hint="eastAsia" w:ascii="宋体" w:hAnsi="宋体"/>
          <w:sz w:val="28"/>
          <w:szCs w:val="28"/>
          <w:lang w:val="en-US" w:eastAsia="zh-CN"/>
        </w:rPr>
        <w:t>龙岩</w:t>
      </w:r>
      <w:r>
        <w:rPr>
          <w:rFonts w:hint="eastAsia" w:ascii="宋体" w:hAnsi="宋体"/>
          <w:sz w:val="28"/>
          <w:szCs w:val="28"/>
        </w:rPr>
        <w:t>市</w:t>
      </w:r>
      <w:r>
        <w:rPr>
          <w:rFonts w:hint="eastAsia" w:ascii="宋体" w:hAnsi="宋体"/>
          <w:sz w:val="28"/>
          <w:szCs w:val="28"/>
          <w:lang w:val="en-US" w:eastAsia="zh-CN"/>
        </w:rPr>
        <w:t>人民</w:t>
      </w:r>
      <w:r>
        <w:rPr>
          <w:rFonts w:hint="eastAsia" w:ascii="宋体" w:hAnsi="宋体"/>
          <w:sz w:val="28"/>
          <w:szCs w:val="28"/>
        </w:rPr>
        <w:t>政府办公室印发了《中国（龙岩）跨境电子商务综合试验区建设三年行动计划（2021-2023）》，对今后一段时期我市综试区建设的目标任务和重点工作进一步细化分解落实。</w:t>
      </w:r>
      <w:r>
        <w:rPr>
          <w:rFonts w:hint="eastAsia" w:ascii="宋体" w:hAnsi="宋体"/>
          <w:sz w:val="28"/>
          <w:szCs w:val="28"/>
          <w:highlight w:val="none"/>
        </w:rPr>
        <w:t>此次绩效评价对象为</w:t>
      </w:r>
      <w:r>
        <w:rPr>
          <w:rFonts w:hint="eastAsia" w:ascii="宋体" w:hAnsi="宋体"/>
          <w:sz w:val="28"/>
          <w:szCs w:val="28"/>
          <w:highlight w:val="none"/>
          <w:lang w:val="en-US" w:eastAsia="zh-CN"/>
        </w:rPr>
        <w:t>龙岩高新技术产业开发区（龙岩经济技术开发区）管理委员会（以下简称龙岩高新区（经开区）管委会）龙岩跨境电商生态圈建设</w:t>
      </w:r>
      <w:r>
        <w:rPr>
          <w:rFonts w:hint="eastAsia" w:ascii="宋体" w:hAnsi="宋体"/>
          <w:sz w:val="28"/>
          <w:szCs w:val="28"/>
          <w:highlight w:val="none"/>
        </w:rPr>
        <w:t>的使用状况，对发现的问题提出建议，以提高资金使用安全和效益。</w:t>
      </w:r>
    </w:p>
    <w:p w14:paraId="455D7596">
      <w:pPr>
        <w:spacing w:line="520" w:lineRule="exact"/>
        <w:ind w:firstLine="562" w:firstLineChars="200"/>
        <w:rPr>
          <w:rFonts w:ascii="宋体" w:hAnsi="宋体"/>
          <w:b/>
          <w:sz w:val="28"/>
          <w:szCs w:val="28"/>
        </w:rPr>
      </w:pPr>
      <w:r>
        <w:rPr>
          <w:rFonts w:hint="eastAsia" w:ascii="宋体" w:hAnsi="宋体"/>
          <w:b/>
          <w:sz w:val="28"/>
          <w:szCs w:val="28"/>
        </w:rPr>
        <w:t>（二）项目实施情况</w:t>
      </w:r>
    </w:p>
    <w:p w14:paraId="5D5C85C5">
      <w:pPr>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2021年3月30日，</w:t>
      </w:r>
      <w:r>
        <w:rPr>
          <w:rFonts w:hint="eastAsia" w:ascii="宋体" w:hAnsi="宋体"/>
          <w:sz w:val="28"/>
          <w:szCs w:val="28"/>
          <w:highlight w:val="none"/>
          <w:lang w:val="en-US" w:eastAsia="zh-CN"/>
        </w:rPr>
        <w:t>龙岩高新区（经开区）管委会</w:t>
      </w:r>
      <w:r>
        <w:rPr>
          <w:rFonts w:hint="eastAsia" w:ascii="宋体" w:hAnsi="宋体"/>
          <w:sz w:val="28"/>
          <w:szCs w:val="28"/>
          <w:lang w:val="en-US" w:eastAsia="zh-CN"/>
        </w:rPr>
        <w:t>召开龙岩跨境电商生态圈改造项目工作专题会议，会议指出：按照“统一设计、分部实施”原则，将东肖镇黄邦路2号厂房进行改造，打造龙岩跨境电商生态圈项目。项目建设单位为产权单位龙岩市龙耀建设发展有限公司，由福建省南方联合置业有限公司负责代建，改造及办公设施采购费用由经发集团投入。装修完成后由经开区投资促进中心（港务）向产权单位（龙岩市龙耀建设发展有限公司）按市场价租赁，租赁后整体委托招商公司运营管理。</w:t>
      </w:r>
    </w:p>
    <w:p w14:paraId="58CB642E">
      <w:pPr>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2021年5月28日，</w:t>
      </w:r>
      <w:r>
        <w:rPr>
          <w:rFonts w:hint="eastAsia" w:ascii="宋体" w:hAnsi="宋体"/>
          <w:sz w:val="28"/>
          <w:szCs w:val="28"/>
          <w:highlight w:val="none"/>
          <w:lang w:val="en-US" w:eastAsia="zh-CN"/>
        </w:rPr>
        <w:t>龙岩高新区（经开区）管委会</w:t>
      </w:r>
      <w:r>
        <w:rPr>
          <w:rFonts w:hint="eastAsia" w:ascii="宋体" w:hAnsi="宋体"/>
          <w:sz w:val="28"/>
          <w:szCs w:val="28"/>
          <w:lang w:val="en-US" w:eastAsia="zh-CN"/>
        </w:rPr>
        <w:t>召开龙岩跨境电商生态圈配套提升项目工作推进专题会议，会议指出：龙岩跨境电商生态圈运营方确定为厦门橙心橙意网络科技有限公司。</w:t>
      </w:r>
    </w:p>
    <w:p w14:paraId="6A0A2506">
      <w:pPr>
        <w:spacing w:line="520" w:lineRule="exact"/>
        <w:ind w:firstLine="560" w:firstLineChars="200"/>
        <w:rPr>
          <w:rFonts w:hint="eastAsia" w:ascii="宋体" w:hAnsi="宋体"/>
          <w:sz w:val="28"/>
          <w:szCs w:val="28"/>
          <w:lang w:val="en-US" w:eastAsia="zh-CN"/>
        </w:rPr>
      </w:pPr>
      <w:r>
        <w:rPr>
          <w:rFonts w:hint="eastAsia" w:ascii="宋体" w:hAnsi="宋体"/>
          <w:sz w:val="28"/>
          <w:szCs w:val="28"/>
          <w:lang w:val="en-US" w:eastAsia="zh-CN"/>
        </w:rPr>
        <w:t>2021年8月27日，</w:t>
      </w:r>
      <w:r>
        <w:rPr>
          <w:rFonts w:hint="eastAsia" w:ascii="宋体" w:hAnsi="宋体"/>
          <w:sz w:val="28"/>
          <w:szCs w:val="28"/>
          <w:highlight w:val="none"/>
          <w:lang w:val="en-US" w:eastAsia="zh-CN"/>
        </w:rPr>
        <w:t>龙岩高新区（经开区）管委会</w:t>
      </w:r>
      <w:r>
        <w:rPr>
          <w:rFonts w:hint="eastAsia" w:ascii="宋体" w:hAnsi="宋体"/>
          <w:sz w:val="28"/>
          <w:szCs w:val="28"/>
          <w:lang w:val="en-US" w:eastAsia="zh-CN"/>
        </w:rPr>
        <w:t>召开党政联席会议（</w:t>
      </w:r>
      <w:r>
        <w:rPr>
          <w:rFonts w:hint="eastAsia" w:ascii="宋体" w:hAnsi="宋体"/>
          <w:sz w:val="28"/>
          <w:szCs w:val="28"/>
        </w:rPr>
        <w:t>〔2021〕</w:t>
      </w:r>
      <w:r>
        <w:rPr>
          <w:rFonts w:hint="eastAsia" w:ascii="宋体" w:hAnsi="宋体"/>
          <w:sz w:val="28"/>
          <w:szCs w:val="28"/>
          <w:lang w:val="en-US" w:eastAsia="zh-CN"/>
        </w:rPr>
        <w:t>1</w:t>
      </w:r>
      <w:r>
        <w:rPr>
          <w:rFonts w:hint="eastAsia" w:ascii="宋体" w:hAnsi="宋体"/>
          <w:sz w:val="28"/>
          <w:szCs w:val="28"/>
        </w:rPr>
        <w:t>3号</w:t>
      </w:r>
      <w:r>
        <w:rPr>
          <w:rFonts w:hint="eastAsia" w:ascii="宋体" w:hAnsi="宋体"/>
          <w:sz w:val="28"/>
          <w:szCs w:val="28"/>
          <w:lang w:val="en-US" w:eastAsia="zh-CN"/>
        </w:rPr>
        <w:t>），会议指出：由经开区（高新区）投资促进中心（港务服务中心）向产权单位（龙岩市龙耀建设发展有限公司）以每月每平方米50元的价格租赁东肖镇黄邦路2号生产车间3用于龙岩跨境电商生态圈，租期从2021年7月1日起至2024年12月31日止。</w:t>
      </w:r>
    </w:p>
    <w:p w14:paraId="33C5E4BB">
      <w:pPr>
        <w:spacing w:line="520" w:lineRule="exact"/>
        <w:ind w:firstLine="560" w:firstLineChars="200"/>
        <w:rPr>
          <w:rFonts w:hint="default" w:ascii="宋体" w:hAnsi="宋体"/>
          <w:sz w:val="28"/>
          <w:szCs w:val="28"/>
          <w:lang w:val="en-US" w:eastAsia="zh-CN"/>
        </w:rPr>
      </w:pPr>
      <w:r>
        <w:rPr>
          <w:rFonts w:hint="eastAsia" w:ascii="宋体" w:hAnsi="宋体"/>
          <w:sz w:val="28"/>
          <w:szCs w:val="28"/>
          <w:lang w:val="en-US" w:eastAsia="zh-CN"/>
        </w:rPr>
        <w:t>2021年7月1日，龙岩市龙耀建设发展有限公司、龙岩市经济技术开发区（龙岩高新区）投资促进中心、龙岩经济技术开发区招商服务有限公司签订三方合同，由经开区（高新区）投资促进中心向龙耀建设租赁龙岩跨境电商生态圈一期，总面积为3636.59㎡，18.91万元/月租金。</w:t>
      </w:r>
    </w:p>
    <w:p w14:paraId="795E2F54">
      <w:pPr>
        <w:spacing w:line="520" w:lineRule="exact"/>
        <w:ind w:firstLine="660" w:firstLineChars="236"/>
        <w:rPr>
          <w:rFonts w:hint="eastAsia" w:eastAsia="宋体"/>
          <w:sz w:val="28"/>
          <w:szCs w:val="28"/>
          <w:shd w:val="clear" w:color="auto" w:fill="FFFFFF"/>
          <w:lang w:eastAsia="zh-CN"/>
        </w:rPr>
      </w:pPr>
      <w:r>
        <w:rPr>
          <w:rFonts w:hint="eastAsia" w:asciiTheme="minorEastAsia" w:hAnsiTheme="minorEastAsia" w:eastAsiaTheme="minorEastAsia" w:cstheme="minorEastAsia"/>
          <w:sz w:val="28"/>
          <w:szCs w:val="28"/>
          <w:lang w:val="en-US" w:eastAsia="zh-CN"/>
        </w:rPr>
        <w:t>根据《关于调整龙岩高新技术产业开发区（龙岩经济技术开发区）管理委员会所属事业单位机构编制事项的通知》</w:t>
      </w:r>
      <w:r>
        <w:rPr>
          <w:rFonts w:hint="eastAsia" w:ascii="宋体" w:hAnsi="宋体"/>
          <w:sz w:val="28"/>
          <w:szCs w:val="28"/>
          <w:lang w:val="en-US" w:eastAsia="zh-CN"/>
        </w:rPr>
        <w:t>（岩委编办</w:t>
      </w:r>
      <w:r>
        <w:rPr>
          <w:rFonts w:hint="eastAsia" w:ascii="宋体" w:hAnsi="宋体"/>
          <w:sz w:val="28"/>
          <w:szCs w:val="28"/>
        </w:rPr>
        <w:t>〔2021〕</w:t>
      </w:r>
      <w:r>
        <w:rPr>
          <w:rFonts w:hint="eastAsia" w:ascii="宋体" w:hAnsi="宋体"/>
          <w:sz w:val="28"/>
          <w:szCs w:val="28"/>
          <w:lang w:val="en-US" w:eastAsia="zh-CN"/>
        </w:rPr>
        <w:t>118</w:t>
      </w:r>
      <w:r>
        <w:rPr>
          <w:rFonts w:hint="eastAsia" w:ascii="宋体" w:hAnsi="宋体"/>
          <w:sz w:val="28"/>
          <w:szCs w:val="28"/>
        </w:rPr>
        <w:t>号</w:t>
      </w:r>
      <w:r>
        <w:rPr>
          <w:rFonts w:hint="eastAsia" w:ascii="宋体" w:hAnsi="宋体"/>
          <w:sz w:val="28"/>
          <w:szCs w:val="28"/>
          <w:lang w:val="en-US" w:eastAsia="zh-CN"/>
        </w:rPr>
        <w:t>）文件精神，龙岩高新技术产业开发区（龙岩经济技术开发区）陆地港港务服务中心机构及职能调整至龙岩高新技术产业开发区（龙岩经济技术开发区）企业服务中心。</w:t>
      </w:r>
      <w:r>
        <w:rPr>
          <w:rFonts w:hint="eastAsia"/>
          <w:sz w:val="28"/>
          <w:szCs w:val="28"/>
          <w:shd w:val="clear" w:color="auto" w:fill="FFFFFF"/>
        </w:rPr>
        <w:t>项目资金安排及项目具体实施情况具体见下表</w:t>
      </w:r>
      <w:r>
        <w:rPr>
          <w:rFonts w:hint="eastAsia"/>
          <w:sz w:val="28"/>
          <w:szCs w:val="28"/>
          <w:shd w:val="clear" w:color="auto" w:fill="FFFFFF"/>
          <w:lang w:eastAsia="zh-CN"/>
        </w:rPr>
        <w:t>：</w:t>
      </w:r>
    </w:p>
    <w:p w14:paraId="692F81A2">
      <w:pPr>
        <w:spacing w:line="520" w:lineRule="exact"/>
        <w:ind w:firstLine="1120" w:firstLineChars="400"/>
        <w:rPr>
          <w:sz w:val="28"/>
          <w:szCs w:val="28"/>
          <w:shd w:val="clear" w:color="auto" w:fill="FFFFFF"/>
        </w:rPr>
      </w:pPr>
      <w:r>
        <w:rPr>
          <w:rFonts w:hint="eastAsia"/>
          <w:sz w:val="28"/>
          <w:szCs w:val="28"/>
          <w:shd w:val="clear" w:color="auto" w:fill="FFFFFF"/>
          <w:lang w:eastAsia="zh-CN"/>
        </w:rPr>
        <w:t>龙岩跨境电商生态圈</w:t>
      </w:r>
      <w:r>
        <w:rPr>
          <w:rFonts w:hint="eastAsia"/>
          <w:sz w:val="28"/>
          <w:szCs w:val="28"/>
          <w:shd w:val="clear" w:color="auto" w:fill="FFFFFF"/>
        </w:rPr>
        <w:t>项目实施情况（单位：万元）</w:t>
      </w:r>
    </w:p>
    <w:tbl>
      <w:tblPr>
        <w:tblStyle w:val="14"/>
        <w:tblW w:w="8280" w:type="dxa"/>
        <w:tblInd w:w="14" w:type="dxa"/>
        <w:tblLayout w:type="fixed"/>
        <w:tblCellMar>
          <w:top w:w="15" w:type="dxa"/>
          <w:left w:w="15" w:type="dxa"/>
          <w:bottom w:w="15" w:type="dxa"/>
          <w:right w:w="15" w:type="dxa"/>
        </w:tblCellMar>
      </w:tblPr>
      <w:tblGrid>
        <w:gridCol w:w="300"/>
        <w:gridCol w:w="994"/>
        <w:gridCol w:w="1155"/>
        <w:gridCol w:w="990"/>
        <w:gridCol w:w="990"/>
        <w:gridCol w:w="780"/>
        <w:gridCol w:w="3071"/>
      </w:tblGrid>
      <w:tr w14:paraId="4B2D49BE">
        <w:tblPrEx>
          <w:tblCellMar>
            <w:top w:w="15" w:type="dxa"/>
            <w:left w:w="15" w:type="dxa"/>
            <w:bottom w:w="15" w:type="dxa"/>
            <w:right w:w="15" w:type="dxa"/>
          </w:tblCellMar>
        </w:tblPrEx>
        <w:trPr>
          <w:trHeight w:val="480" w:hRule="atLeast"/>
        </w:trPr>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258B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序号</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3554A">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kern w:val="0"/>
                <w:sz w:val="20"/>
                <w:szCs w:val="20"/>
                <w:lang w:val="en-US" w:eastAsia="zh-CN" w:bidi="ar"/>
              </w:rPr>
              <w:t>承接单位</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7FA34">
            <w:pPr>
              <w:widowControl/>
              <w:jc w:val="center"/>
              <w:textAlignment w:val="center"/>
              <w:rPr>
                <w:rFonts w:hint="eastAsia" w:ascii="宋体" w:hAnsi="宋体" w:eastAsia="宋体" w:cs="宋体"/>
                <w:sz w:val="20"/>
                <w:szCs w:val="20"/>
                <w:lang w:eastAsia="zh-CN"/>
              </w:rPr>
            </w:pPr>
            <w:r>
              <w:rPr>
                <w:rFonts w:hint="eastAsia" w:ascii="宋体" w:hAnsi="宋体" w:cs="宋体"/>
                <w:color w:val="000000"/>
                <w:kern w:val="0"/>
                <w:sz w:val="20"/>
                <w:szCs w:val="20"/>
                <w:lang w:bidi="ar"/>
              </w:rPr>
              <w:t>项目</w:t>
            </w:r>
            <w:r>
              <w:rPr>
                <w:rFonts w:hint="eastAsia" w:ascii="宋体" w:hAnsi="宋体" w:cs="宋体"/>
                <w:color w:val="000000"/>
                <w:kern w:val="0"/>
                <w:sz w:val="20"/>
                <w:szCs w:val="20"/>
                <w:lang w:val="en-US" w:eastAsia="zh-CN" w:bidi="ar"/>
              </w:rPr>
              <w:t>名称</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F9851">
            <w:pPr>
              <w:widowControl/>
              <w:jc w:val="center"/>
              <w:textAlignment w:val="center"/>
              <w:rPr>
                <w:rFonts w:hint="default" w:ascii="宋体" w:hAnsi="宋体" w:eastAsia="宋体" w:cs="宋体"/>
                <w:sz w:val="20"/>
                <w:szCs w:val="20"/>
                <w:lang w:val="en-US" w:eastAsia="zh-CN"/>
              </w:rPr>
            </w:pPr>
            <w:r>
              <w:rPr>
                <w:rFonts w:hint="eastAsia" w:ascii="宋体" w:hAnsi="宋体" w:cs="宋体"/>
                <w:kern w:val="0"/>
                <w:sz w:val="20"/>
                <w:szCs w:val="20"/>
                <w:highlight w:val="none"/>
                <w:lang w:bidi="ar"/>
              </w:rPr>
              <w:t>到位财政资金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1F842">
            <w:pPr>
              <w:widowControl/>
              <w:jc w:val="center"/>
              <w:textAlignment w:val="center"/>
              <w:rPr>
                <w:rFonts w:ascii="宋体" w:hAnsi="宋体" w:cs="宋体"/>
                <w:sz w:val="20"/>
                <w:szCs w:val="20"/>
              </w:rPr>
            </w:pPr>
            <w:r>
              <w:rPr>
                <w:rFonts w:hint="eastAsia" w:ascii="宋体" w:hAnsi="宋体" w:cs="宋体"/>
                <w:kern w:val="0"/>
                <w:sz w:val="20"/>
                <w:szCs w:val="20"/>
                <w:lang w:bidi="ar"/>
              </w:rPr>
              <w:t>实际支出</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C9DCE">
            <w:pPr>
              <w:widowControl/>
              <w:jc w:val="center"/>
              <w:textAlignment w:val="center"/>
              <w:rPr>
                <w:rFonts w:ascii="宋体" w:hAnsi="宋体" w:cs="宋体"/>
                <w:sz w:val="20"/>
                <w:szCs w:val="20"/>
              </w:rPr>
            </w:pPr>
            <w:r>
              <w:rPr>
                <w:rFonts w:hint="eastAsia" w:ascii="宋体" w:hAnsi="宋体" w:cs="宋体"/>
                <w:kern w:val="0"/>
                <w:sz w:val="20"/>
                <w:szCs w:val="20"/>
                <w:lang w:bidi="ar"/>
              </w:rPr>
              <w:t>结余数</w:t>
            </w:r>
          </w:p>
        </w:tc>
        <w:tc>
          <w:tcPr>
            <w:tcW w:w="3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41083">
            <w:pPr>
              <w:widowControl/>
              <w:jc w:val="center"/>
              <w:textAlignment w:val="center"/>
              <w:rPr>
                <w:rFonts w:ascii="宋体" w:hAnsi="宋体" w:cs="宋体"/>
                <w:sz w:val="20"/>
                <w:szCs w:val="20"/>
              </w:rPr>
            </w:pPr>
            <w:r>
              <w:rPr>
                <w:rFonts w:hint="eastAsia" w:ascii="宋体" w:hAnsi="宋体" w:cs="宋体"/>
                <w:sz w:val="20"/>
                <w:szCs w:val="20"/>
              </w:rPr>
              <w:t>项目实施情况</w:t>
            </w:r>
          </w:p>
        </w:tc>
      </w:tr>
      <w:tr w14:paraId="6C1A912E">
        <w:tblPrEx>
          <w:tblCellMar>
            <w:top w:w="15" w:type="dxa"/>
            <w:left w:w="15" w:type="dxa"/>
            <w:bottom w:w="15" w:type="dxa"/>
            <w:right w:w="15" w:type="dxa"/>
          </w:tblCellMar>
        </w:tblPrEx>
        <w:trPr>
          <w:trHeight w:val="741" w:hRule="atLeast"/>
        </w:trPr>
        <w:tc>
          <w:tcPr>
            <w:tcW w:w="300" w:type="dxa"/>
            <w:vMerge w:val="restart"/>
            <w:tcBorders>
              <w:top w:val="single" w:color="000000" w:sz="4" w:space="0"/>
              <w:left w:val="single" w:color="000000" w:sz="4" w:space="0"/>
              <w:right w:val="single" w:color="000000" w:sz="4" w:space="0"/>
            </w:tcBorders>
            <w:shd w:val="clear" w:color="auto" w:fill="auto"/>
            <w:vAlign w:val="center"/>
          </w:tcPr>
          <w:p w14:paraId="34F41C8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994" w:type="dxa"/>
            <w:vMerge w:val="restart"/>
            <w:tcBorders>
              <w:top w:val="single" w:color="000000" w:sz="4" w:space="0"/>
              <w:left w:val="single" w:color="000000" w:sz="4" w:space="0"/>
              <w:right w:val="single" w:color="000000" w:sz="4" w:space="0"/>
            </w:tcBorders>
            <w:shd w:val="clear" w:color="auto" w:fill="auto"/>
            <w:vAlign w:val="center"/>
          </w:tcPr>
          <w:p w14:paraId="4ADDB21D">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kern w:val="0"/>
                <w:sz w:val="20"/>
                <w:szCs w:val="20"/>
                <w:lang w:val="en-US" w:eastAsia="zh-CN" w:bidi="ar"/>
              </w:rPr>
              <w:t>龙岩市龙耀建设发展有限公司</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8EEBA">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kern w:val="0"/>
                <w:sz w:val="20"/>
                <w:szCs w:val="20"/>
                <w:lang w:val="en-US" w:eastAsia="zh-CN" w:bidi="ar"/>
              </w:rPr>
              <w:t>2021年度租赁费</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9C56A">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kern w:val="0"/>
                <w:sz w:val="20"/>
                <w:szCs w:val="20"/>
                <w:lang w:val="en-US" w:eastAsia="zh-CN" w:bidi="ar"/>
              </w:rPr>
              <w:t>95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E98FA">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kern w:val="0"/>
                <w:sz w:val="20"/>
                <w:szCs w:val="20"/>
                <w:lang w:val="en-US" w:eastAsia="zh-CN" w:bidi="ar"/>
              </w:rPr>
              <w:t>95</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EB20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3071" w:type="dxa"/>
            <w:vMerge w:val="restart"/>
            <w:tcBorders>
              <w:top w:val="single" w:color="000000" w:sz="4" w:space="0"/>
              <w:left w:val="single" w:color="000000" w:sz="4" w:space="0"/>
              <w:right w:val="single" w:color="000000" w:sz="4" w:space="0"/>
            </w:tcBorders>
            <w:shd w:val="clear" w:color="auto" w:fill="auto"/>
            <w:vAlign w:val="center"/>
          </w:tcPr>
          <w:p w14:paraId="54EBDE99">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kern w:val="0"/>
                <w:sz w:val="20"/>
                <w:szCs w:val="20"/>
                <w:lang w:val="en-US" w:eastAsia="zh-CN" w:bidi="ar"/>
              </w:rPr>
              <w:t>根据龙岩市财政局 龙岩市商务局关于下达省级2021年商务领域“为群众办实事”项目资金的通知（龙财外指【2021】14号），2021年7月1日经开区（高新区）投资促进中心与龙岩市龙耀建设发展有限公司、龙岩经济技术开发区招商服务有限公司签订三方合同，跨境电商生态圈租赁面积3782㎡，50元/月/㎡，即18.91万元/月租金。</w:t>
            </w:r>
          </w:p>
        </w:tc>
      </w:tr>
      <w:tr w14:paraId="1805040E">
        <w:tblPrEx>
          <w:tblCellMar>
            <w:top w:w="15" w:type="dxa"/>
            <w:left w:w="15" w:type="dxa"/>
            <w:bottom w:w="15" w:type="dxa"/>
            <w:right w:w="15" w:type="dxa"/>
          </w:tblCellMar>
        </w:tblPrEx>
        <w:trPr>
          <w:trHeight w:val="1216" w:hRule="atLeast"/>
        </w:trPr>
        <w:tc>
          <w:tcPr>
            <w:tcW w:w="300" w:type="dxa"/>
            <w:vMerge w:val="continue"/>
            <w:tcBorders>
              <w:left w:val="single" w:color="000000" w:sz="4" w:space="0"/>
              <w:right w:val="single" w:color="000000" w:sz="4" w:space="0"/>
            </w:tcBorders>
            <w:shd w:val="clear" w:color="auto" w:fill="auto"/>
            <w:vAlign w:val="center"/>
          </w:tcPr>
          <w:p w14:paraId="18A29B46">
            <w:pPr>
              <w:widowControl/>
              <w:jc w:val="center"/>
              <w:textAlignment w:val="center"/>
              <w:rPr>
                <w:rFonts w:hint="eastAsia" w:ascii="宋体" w:hAnsi="宋体" w:cs="宋体"/>
                <w:color w:val="000000"/>
                <w:kern w:val="0"/>
                <w:sz w:val="20"/>
                <w:szCs w:val="20"/>
                <w:lang w:bidi="ar"/>
              </w:rPr>
            </w:pPr>
          </w:p>
        </w:tc>
        <w:tc>
          <w:tcPr>
            <w:tcW w:w="994" w:type="dxa"/>
            <w:vMerge w:val="continue"/>
            <w:tcBorders>
              <w:left w:val="single" w:color="000000" w:sz="4" w:space="0"/>
              <w:right w:val="single" w:color="000000" w:sz="4" w:space="0"/>
            </w:tcBorders>
            <w:shd w:val="clear" w:color="auto" w:fill="auto"/>
            <w:vAlign w:val="center"/>
          </w:tcPr>
          <w:p w14:paraId="653E01CF">
            <w:pPr>
              <w:widowControl/>
              <w:jc w:val="center"/>
              <w:textAlignment w:val="center"/>
              <w:rPr>
                <w:rFonts w:hint="eastAsia" w:ascii="宋体" w:hAnsi="宋体" w:cs="宋体"/>
                <w:color w:val="000000"/>
                <w:kern w:val="0"/>
                <w:sz w:val="20"/>
                <w:szCs w:val="20"/>
                <w:lang w:val="en-US" w:eastAsia="zh-CN" w:bidi="ar"/>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FBD1F">
            <w:pPr>
              <w:widowControl/>
              <w:jc w:val="center"/>
              <w:textAlignment w:val="center"/>
              <w:rPr>
                <w:rFonts w:hint="default"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2021年度租赁费和2022年上半年租赁费</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05E01">
            <w:pPr>
              <w:widowControl/>
              <w:jc w:val="center"/>
              <w:textAlignment w:val="center"/>
              <w:rPr>
                <w:rFonts w:hint="default"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131.92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8C545">
            <w:pPr>
              <w:widowControl/>
              <w:jc w:val="center"/>
              <w:textAlignment w:val="center"/>
              <w:rPr>
                <w:rFonts w:hint="default"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t>131.92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53407">
            <w:pPr>
              <w:widowControl/>
              <w:jc w:val="center"/>
              <w:textAlignment w:val="center"/>
              <w:rPr>
                <w:rFonts w:hint="default" w:ascii="宋体" w:hAnsi="宋体" w:eastAsia="宋体" w:cs="宋体"/>
                <w:color w:val="000000"/>
                <w:kern w:val="0"/>
                <w:sz w:val="20"/>
                <w:szCs w:val="20"/>
                <w:lang w:val="en-US" w:eastAsia="zh-CN" w:bidi="ar"/>
              </w:rPr>
            </w:pPr>
            <w:r>
              <w:rPr>
                <w:rFonts w:hint="eastAsia" w:ascii="宋体" w:hAnsi="宋体" w:cs="宋体"/>
                <w:color w:val="000000"/>
                <w:kern w:val="0"/>
                <w:sz w:val="20"/>
                <w:szCs w:val="20"/>
                <w:lang w:bidi="ar"/>
              </w:rPr>
              <w:t>-</w:t>
            </w:r>
          </w:p>
        </w:tc>
        <w:tc>
          <w:tcPr>
            <w:tcW w:w="3071" w:type="dxa"/>
            <w:vMerge w:val="continue"/>
            <w:tcBorders>
              <w:left w:val="single" w:color="000000" w:sz="4" w:space="0"/>
              <w:right w:val="single" w:color="000000" w:sz="4" w:space="0"/>
            </w:tcBorders>
            <w:shd w:val="clear" w:color="auto" w:fill="auto"/>
            <w:vAlign w:val="center"/>
          </w:tcPr>
          <w:p w14:paraId="6C1F42CB">
            <w:pPr>
              <w:widowControl/>
              <w:jc w:val="center"/>
              <w:textAlignment w:val="center"/>
              <w:rPr>
                <w:rFonts w:hint="eastAsia" w:ascii="宋体" w:hAnsi="宋体" w:cs="宋体"/>
                <w:color w:val="000000"/>
                <w:kern w:val="0"/>
                <w:sz w:val="20"/>
                <w:szCs w:val="20"/>
                <w:lang w:val="en-US" w:eastAsia="zh-CN" w:bidi="ar"/>
              </w:rPr>
            </w:pPr>
          </w:p>
        </w:tc>
      </w:tr>
      <w:tr w14:paraId="6F0494A3">
        <w:tblPrEx>
          <w:tblCellMar>
            <w:top w:w="15" w:type="dxa"/>
            <w:left w:w="15" w:type="dxa"/>
            <w:bottom w:w="15" w:type="dxa"/>
            <w:right w:w="15" w:type="dxa"/>
          </w:tblCellMar>
        </w:tblPrEx>
        <w:trPr>
          <w:trHeight w:val="791" w:hRule="atLeast"/>
        </w:trPr>
        <w:tc>
          <w:tcPr>
            <w:tcW w:w="300" w:type="dxa"/>
            <w:vMerge w:val="continue"/>
            <w:tcBorders>
              <w:left w:val="single" w:color="000000" w:sz="4" w:space="0"/>
              <w:right w:val="single" w:color="000000" w:sz="4" w:space="0"/>
            </w:tcBorders>
            <w:shd w:val="clear" w:color="auto" w:fill="auto"/>
            <w:vAlign w:val="center"/>
          </w:tcPr>
          <w:p w14:paraId="57A454B2">
            <w:pPr>
              <w:widowControl/>
              <w:jc w:val="center"/>
              <w:textAlignment w:val="center"/>
              <w:rPr>
                <w:rFonts w:ascii="宋体" w:hAnsi="宋体" w:cs="宋体"/>
                <w:color w:val="000000"/>
                <w:sz w:val="20"/>
                <w:szCs w:val="20"/>
              </w:rPr>
            </w:pPr>
          </w:p>
        </w:tc>
        <w:tc>
          <w:tcPr>
            <w:tcW w:w="994" w:type="dxa"/>
            <w:vMerge w:val="continue"/>
            <w:tcBorders>
              <w:left w:val="single" w:color="000000" w:sz="4" w:space="0"/>
              <w:right w:val="single" w:color="000000" w:sz="4" w:space="0"/>
            </w:tcBorders>
            <w:shd w:val="clear" w:color="auto" w:fill="auto"/>
            <w:vAlign w:val="center"/>
          </w:tcPr>
          <w:p w14:paraId="70EA1CC4">
            <w:pPr>
              <w:widowControl/>
              <w:jc w:val="center"/>
              <w:textAlignment w:val="center"/>
              <w:rPr>
                <w:rFonts w:hint="default" w:ascii="宋体" w:hAnsi="宋体" w:eastAsia="宋体" w:cs="宋体"/>
                <w:color w:val="000000"/>
                <w:sz w:val="20"/>
                <w:szCs w:val="20"/>
                <w:lang w:val="en-US" w:eastAsia="zh-CN"/>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503DB">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2022年下半年租赁费</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C65C7">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114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48ABC">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113.46</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70132">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kern w:val="0"/>
                <w:sz w:val="20"/>
                <w:szCs w:val="20"/>
                <w:lang w:val="en-US" w:eastAsia="zh-CN" w:bidi="ar"/>
              </w:rPr>
              <w:t>0.54</w:t>
            </w:r>
          </w:p>
        </w:tc>
        <w:tc>
          <w:tcPr>
            <w:tcW w:w="3071" w:type="dxa"/>
            <w:vMerge w:val="continue"/>
            <w:tcBorders>
              <w:left w:val="single" w:color="000000" w:sz="4" w:space="0"/>
              <w:right w:val="single" w:color="000000" w:sz="4" w:space="0"/>
            </w:tcBorders>
            <w:shd w:val="clear" w:color="auto" w:fill="auto"/>
            <w:vAlign w:val="center"/>
          </w:tcPr>
          <w:p w14:paraId="4A87D899">
            <w:pPr>
              <w:widowControl/>
              <w:jc w:val="center"/>
              <w:textAlignment w:val="center"/>
              <w:rPr>
                <w:rFonts w:hint="default" w:ascii="宋体" w:hAnsi="宋体" w:eastAsia="宋体" w:cs="宋体"/>
                <w:color w:val="000000"/>
                <w:sz w:val="20"/>
                <w:szCs w:val="20"/>
                <w:lang w:val="en-US" w:eastAsia="zh-CN"/>
              </w:rPr>
            </w:pPr>
          </w:p>
        </w:tc>
      </w:tr>
      <w:tr w14:paraId="3FB336A8">
        <w:tblPrEx>
          <w:tblCellMar>
            <w:top w:w="15" w:type="dxa"/>
            <w:left w:w="15" w:type="dxa"/>
            <w:bottom w:w="15" w:type="dxa"/>
            <w:right w:w="15" w:type="dxa"/>
          </w:tblCellMar>
        </w:tblPrEx>
        <w:trPr>
          <w:trHeight w:val="1055" w:hRule="atLeast"/>
        </w:trPr>
        <w:tc>
          <w:tcPr>
            <w:tcW w:w="300" w:type="dxa"/>
            <w:vMerge w:val="continue"/>
            <w:tcBorders>
              <w:left w:val="single" w:color="000000" w:sz="4" w:space="0"/>
              <w:right w:val="single" w:color="000000" w:sz="4" w:space="0"/>
            </w:tcBorders>
            <w:shd w:val="clear" w:color="auto" w:fill="auto"/>
            <w:vAlign w:val="center"/>
          </w:tcPr>
          <w:p w14:paraId="6BB9BCF9">
            <w:pPr>
              <w:widowControl/>
              <w:jc w:val="center"/>
              <w:textAlignment w:val="center"/>
              <w:rPr>
                <w:rFonts w:ascii="宋体" w:hAnsi="宋体" w:cs="宋体"/>
                <w:color w:val="000000"/>
                <w:sz w:val="20"/>
                <w:szCs w:val="20"/>
              </w:rPr>
            </w:pPr>
          </w:p>
        </w:tc>
        <w:tc>
          <w:tcPr>
            <w:tcW w:w="994" w:type="dxa"/>
            <w:vMerge w:val="continue"/>
            <w:tcBorders>
              <w:left w:val="single" w:color="000000" w:sz="4" w:space="0"/>
              <w:right w:val="single" w:color="000000" w:sz="4" w:space="0"/>
            </w:tcBorders>
            <w:shd w:val="clear" w:color="auto" w:fill="auto"/>
            <w:vAlign w:val="center"/>
          </w:tcPr>
          <w:p w14:paraId="25A9970F">
            <w:pPr>
              <w:widowControl/>
              <w:jc w:val="center"/>
              <w:textAlignment w:val="center"/>
              <w:rPr>
                <w:rFonts w:ascii="宋体" w:hAnsi="宋体" w:cs="宋体"/>
                <w:color w:val="000000"/>
                <w:sz w:val="20"/>
                <w:szCs w:val="20"/>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4E150">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跨境电商生态圈二期建设补助</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68D44">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45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E3C9E">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45</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A38F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3071" w:type="dxa"/>
            <w:vMerge w:val="continue"/>
            <w:tcBorders>
              <w:left w:val="single" w:color="000000" w:sz="4" w:space="0"/>
              <w:right w:val="single" w:color="000000" w:sz="4" w:space="0"/>
            </w:tcBorders>
            <w:shd w:val="clear" w:color="auto" w:fill="auto"/>
            <w:vAlign w:val="center"/>
          </w:tcPr>
          <w:p w14:paraId="40B19CDB">
            <w:pPr>
              <w:widowControl/>
              <w:jc w:val="center"/>
              <w:textAlignment w:val="center"/>
              <w:rPr>
                <w:rFonts w:ascii="宋体" w:hAnsi="宋体" w:cs="宋体"/>
                <w:color w:val="000000"/>
                <w:sz w:val="20"/>
                <w:szCs w:val="20"/>
              </w:rPr>
            </w:pPr>
          </w:p>
        </w:tc>
      </w:tr>
      <w:tr w14:paraId="727DB29E">
        <w:tblPrEx>
          <w:tblCellMar>
            <w:top w:w="15" w:type="dxa"/>
            <w:left w:w="15" w:type="dxa"/>
            <w:bottom w:w="15" w:type="dxa"/>
            <w:right w:w="15" w:type="dxa"/>
          </w:tblCellMar>
        </w:tblPrEx>
        <w:trPr>
          <w:trHeight w:val="756" w:hRule="atLeast"/>
        </w:trPr>
        <w:tc>
          <w:tcPr>
            <w:tcW w:w="300" w:type="dxa"/>
            <w:vMerge w:val="continue"/>
            <w:tcBorders>
              <w:left w:val="single" w:color="000000" w:sz="4" w:space="0"/>
              <w:bottom w:val="single" w:color="000000" w:sz="4" w:space="0"/>
              <w:right w:val="single" w:color="000000" w:sz="4" w:space="0"/>
            </w:tcBorders>
            <w:shd w:val="clear" w:color="auto" w:fill="auto"/>
            <w:vAlign w:val="center"/>
          </w:tcPr>
          <w:p w14:paraId="2E1AAF9B">
            <w:pPr>
              <w:widowControl/>
              <w:jc w:val="center"/>
              <w:textAlignment w:val="center"/>
              <w:rPr>
                <w:rFonts w:ascii="宋体" w:hAnsi="宋体" w:cs="宋体"/>
                <w:color w:val="000000"/>
                <w:sz w:val="20"/>
                <w:szCs w:val="20"/>
              </w:rPr>
            </w:pPr>
          </w:p>
        </w:tc>
        <w:tc>
          <w:tcPr>
            <w:tcW w:w="994" w:type="dxa"/>
            <w:vMerge w:val="continue"/>
            <w:tcBorders>
              <w:left w:val="single" w:color="000000" w:sz="4" w:space="0"/>
              <w:bottom w:val="single" w:color="000000" w:sz="4" w:space="0"/>
              <w:right w:val="single" w:color="000000" w:sz="4" w:space="0"/>
            </w:tcBorders>
            <w:shd w:val="clear" w:color="auto" w:fill="auto"/>
            <w:vAlign w:val="center"/>
          </w:tcPr>
          <w:p w14:paraId="2E898CCB">
            <w:pPr>
              <w:widowControl/>
              <w:jc w:val="center"/>
              <w:textAlignment w:val="center"/>
              <w:rPr>
                <w:rFonts w:ascii="宋体" w:hAnsi="宋体" w:cs="宋体"/>
                <w:color w:val="000000"/>
                <w:sz w:val="20"/>
                <w:szCs w:val="20"/>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4FCFE">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2023年度租赁费</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7F0C6">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227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FCCE4">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226.92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0AD9C">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kern w:val="0"/>
                <w:sz w:val="20"/>
                <w:szCs w:val="20"/>
                <w:lang w:val="en-US" w:eastAsia="zh-CN" w:bidi="ar"/>
              </w:rPr>
              <w:t>0.08</w:t>
            </w:r>
          </w:p>
        </w:tc>
        <w:tc>
          <w:tcPr>
            <w:tcW w:w="3071" w:type="dxa"/>
            <w:vMerge w:val="continue"/>
            <w:tcBorders>
              <w:left w:val="single" w:color="000000" w:sz="4" w:space="0"/>
              <w:bottom w:val="single" w:color="000000" w:sz="4" w:space="0"/>
              <w:right w:val="single" w:color="000000" w:sz="4" w:space="0"/>
            </w:tcBorders>
            <w:shd w:val="clear" w:color="auto" w:fill="auto"/>
            <w:vAlign w:val="center"/>
          </w:tcPr>
          <w:p w14:paraId="16F26097">
            <w:pPr>
              <w:widowControl/>
              <w:jc w:val="center"/>
              <w:textAlignment w:val="center"/>
              <w:rPr>
                <w:rFonts w:ascii="宋体" w:hAnsi="宋体" w:cs="宋体"/>
                <w:color w:val="000000"/>
                <w:sz w:val="20"/>
                <w:szCs w:val="20"/>
              </w:rPr>
            </w:pPr>
          </w:p>
        </w:tc>
      </w:tr>
      <w:tr w14:paraId="41C72557">
        <w:tblPrEx>
          <w:tblCellMar>
            <w:top w:w="15" w:type="dxa"/>
            <w:left w:w="15" w:type="dxa"/>
            <w:bottom w:w="15" w:type="dxa"/>
            <w:right w:w="15" w:type="dxa"/>
          </w:tblCellMar>
        </w:tblPrEx>
        <w:trPr>
          <w:trHeight w:val="591" w:hRule="atLeast"/>
        </w:trPr>
        <w:tc>
          <w:tcPr>
            <w:tcW w:w="2449" w:type="dxa"/>
            <w:gridSpan w:val="3"/>
            <w:tcBorders>
              <w:left w:val="single" w:color="000000" w:sz="4" w:space="0"/>
              <w:bottom w:val="single" w:color="000000" w:sz="4" w:space="0"/>
              <w:right w:val="single" w:color="000000" w:sz="4" w:space="0"/>
            </w:tcBorders>
            <w:shd w:val="clear" w:color="auto" w:fill="auto"/>
            <w:vAlign w:val="center"/>
          </w:tcPr>
          <w:p w14:paraId="18C2893F">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kern w:val="0"/>
                <w:sz w:val="20"/>
                <w:szCs w:val="20"/>
                <w:lang w:val="en-US" w:eastAsia="zh-CN" w:bidi="ar"/>
              </w:rPr>
              <w:t>小计</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A8DD1">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fldChar w:fldCharType="begin"/>
            </w:r>
            <w:r>
              <w:rPr>
                <w:rFonts w:hint="eastAsia" w:ascii="宋体" w:hAnsi="宋体" w:cs="宋体"/>
                <w:color w:val="000000"/>
                <w:sz w:val="20"/>
                <w:szCs w:val="20"/>
                <w:lang w:val="en-US" w:eastAsia="zh-CN"/>
              </w:rPr>
              <w:instrText xml:space="preserve"> = sum(D2:D6) \* MERGEFORMAT </w:instrText>
            </w:r>
            <w:r>
              <w:rPr>
                <w:rFonts w:hint="eastAsia" w:ascii="宋体" w:hAnsi="宋体" w:cs="宋体"/>
                <w:color w:val="000000"/>
                <w:sz w:val="20"/>
                <w:szCs w:val="20"/>
                <w:lang w:val="en-US" w:eastAsia="zh-CN"/>
              </w:rPr>
              <w:fldChar w:fldCharType="separate"/>
            </w:r>
            <w:r>
              <w:rPr>
                <w:rFonts w:hint="eastAsia" w:ascii="宋体" w:hAnsi="宋体" w:cs="宋体"/>
                <w:color w:val="000000"/>
                <w:sz w:val="20"/>
                <w:szCs w:val="20"/>
                <w:lang w:val="en-US" w:eastAsia="zh-CN"/>
              </w:rPr>
              <w:t>612.92</w:t>
            </w:r>
            <w:r>
              <w:rPr>
                <w:rFonts w:hint="eastAsia" w:ascii="宋体" w:hAnsi="宋体" w:cs="宋体"/>
                <w:color w:val="000000"/>
                <w:sz w:val="20"/>
                <w:szCs w:val="20"/>
                <w:lang w:val="en-US" w:eastAsia="zh-CN"/>
              </w:rPr>
              <w:fldChar w:fldCharType="end"/>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C9D9E">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fldChar w:fldCharType="begin"/>
            </w:r>
            <w:r>
              <w:rPr>
                <w:rFonts w:hint="eastAsia" w:ascii="宋体" w:hAnsi="宋体" w:cs="宋体"/>
                <w:color w:val="000000"/>
                <w:sz w:val="20"/>
                <w:szCs w:val="20"/>
                <w:lang w:val="en-US" w:eastAsia="zh-CN"/>
              </w:rPr>
              <w:instrText xml:space="preserve"> = sum(E2:E6) \* MERGEFORMAT </w:instrText>
            </w:r>
            <w:r>
              <w:rPr>
                <w:rFonts w:hint="eastAsia" w:ascii="宋体" w:hAnsi="宋体" w:cs="宋体"/>
                <w:color w:val="000000"/>
                <w:sz w:val="20"/>
                <w:szCs w:val="20"/>
                <w:lang w:val="en-US" w:eastAsia="zh-CN"/>
              </w:rPr>
              <w:fldChar w:fldCharType="separate"/>
            </w:r>
            <w:r>
              <w:rPr>
                <w:rFonts w:hint="eastAsia" w:ascii="宋体" w:hAnsi="宋体" w:cs="宋体"/>
                <w:color w:val="000000"/>
                <w:sz w:val="20"/>
                <w:szCs w:val="20"/>
                <w:lang w:val="en-US" w:eastAsia="zh-CN"/>
              </w:rPr>
              <w:t>612.3</w:t>
            </w:r>
            <w:r>
              <w:rPr>
                <w:rFonts w:hint="eastAsia" w:ascii="宋体" w:hAnsi="宋体" w:cs="宋体"/>
                <w:color w:val="000000"/>
                <w:sz w:val="20"/>
                <w:szCs w:val="20"/>
                <w:lang w:val="en-US" w:eastAsia="zh-CN"/>
              </w:rPr>
              <w:fldChar w:fldCharType="end"/>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69148">
            <w:pPr>
              <w:widowControl/>
              <w:jc w:val="center"/>
              <w:textAlignment w:val="center"/>
              <w:rPr>
                <w:rFonts w:hint="eastAsia" w:ascii="宋体" w:hAnsi="宋体" w:cs="宋体"/>
                <w:color w:val="000000"/>
                <w:kern w:val="0"/>
                <w:sz w:val="20"/>
                <w:szCs w:val="20"/>
                <w:lang w:val="en-US" w:eastAsia="zh-CN" w:bidi="ar"/>
              </w:rPr>
            </w:pPr>
            <w:r>
              <w:rPr>
                <w:rFonts w:hint="eastAsia" w:ascii="宋体" w:hAnsi="宋体" w:cs="宋体"/>
                <w:color w:val="000000"/>
                <w:kern w:val="0"/>
                <w:sz w:val="20"/>
                <w:szCs w:val="20"/>
                <w:lang w:val="en-US" w:eastAsia="zh-CN" w:bidi="ar"/>
              </w:rPr>
              <w:fldChar w:fldCharType="begin"/>
            </w:r>
            <w:r>
              <w:rPr>
                <w:rFonts w:hint="eastAsia" w:ascii="宋体" w:hAnsi="宋体" w:cs="宋体"/>
                <w:color w:val="000000"/>
                <w:kern w:val="0"/>
                <w:sz w:val="20"/>
                <w:szCs w:val="20"/>
                <w:lang w:val="en-US" w:eastAsia="zh-CN" w:bidi="ar"/>
              </w:rPr>
              <w:instrText xml:space="preserve"> = sum(F2:F6) \* MERGEFORMAT </w:instrText>
            </w:r>
            <w:r>
              <w:rPr>
                <w:rFonts w:hint="eastAsia" w:ascii="宋体" w:hAnsi="宋体" w:cs="宋体"/>
                <w:color w:val="000000"/>
                <w:kern w:val="0"/>
                <w:sz w:val="20"/>
                <w:szCs w:val="20"/>
                <w:lang w:val="en-US" w:eastAsia="zh-CN" w:bidi="ar"/>
              </w:rPr>
              <w:fldChar w:fldCharType="separate"/>
            </w:r>
            <w:r>
              <w:rPr>
                <w:rFonts w:hint="eastAsia" w:ascii="宋体" w:hAnsi="宋体" w:cs="宋体"/>
                <w:color w:val="000000"/>
                <w:kern w:val="0"/>
                <w:sz w:val="20"/>
                <w:szCs w:val="20"/>
                <w:lang w:val="en-US" w:eastAsia="zh-CN" w:bidi="ar"/>
              </w:rPr>
              <w:t>0.62</w:t>
            </w:r>
            <w:r>
              <w:rPr>
                <w:rFonts w:hint="eastAsia" w:ascii="宋体" w:hAnsi="宋体" w:cs="宋体"/>
                <w:color w:val="000000"/>
                <w:kern w:val="0"/>
                <w:sz w:val="20"/>
                <w:szCs w:val="20"/>
                <w:lang w:val="en-US" w:eastAsia="zh-CN" w:bidi="ar"/>
              </w:rPr>
              <w:fldChar w:fldCharType="end"/>
            </w:r>
          </w:p>
        </w:tc>
        <w:tc>
          <w:tcPr>
            <w:tcW w:w="3071" w:type="dxa"/>
            <w:tcBorders>
              <w:left w:val="single" w:color="000000" w:sz="4" w:space="0"/>
              <w:bottom w:val="single" w:color="000000" w:sz="4" w:space="0"/>
              <w:right w:val="single" w:color="000000" w:sz="4" w:space="0"/>
            </w:tcBorders>
            <w:shd w:val="clear" w:color="auto" w:fill="auto"/>
            <w:vAlign w:val="center"/>
          </w:tcPr>
          <w:p w14:paraId="24BFB59C">
            <w:pPr>
              <w:widowControl/>
              <w:jc w:val="center"/>
              <w:textAlignment w:val="center"/>
              <w:rPr>
                <w:rFonts w:ascii="宋体" w:hAnsi="宋体" w:cs="宋体"/>
                <w:color w:val="000000"/>
                <w:sz w:val="20"/>
                <w:szCs w:val="20"/>
              </w:rPr>
            </w:pPr>
          </w:p>
        </w:tc>
      </w:tr>
      <w:tr w14:paraId="2F1C6E1C">
        <w:tblPrEx>
          <w:tblCellMar>
            <w:top w:w="15" w:type="dxa"/>
            <w:left w:w="15" w:type="dxa"/>
            <w:bottom w:w="15" w:type="dxa"/>
            <w:right w:w="15" w:type="dxa"/>
          </w:tblCellMar>
        </w:tblPrEx>
        <w:trPr>
          <w:trHeight w:val="986" w:hRule="atLeast"/>
        </w:trPr>
        <w:tc>
          <w:tcPr>
            <w:tcW w:w="300" w:type="dxa"/>
            <w:vMerge w:val="restart"/>
            <w:tcBorders>
              <w:top w:val="single" w:color="000000" w:sz="4" w:space="0"/>
              <w:left w:val="single" w:color="000000" w:sz="4" w:space="0"/>
              <w:right w:val="single" w:color="000000" w:sz="4" w:space="0"/>
            </w:tcBorders>
            <w:shd w:val="clear" w:color="auto" w:fill="auto"/>
            <w:vAlign w:val="center"/>
          </w:tcPr>
          <w:p w14:paraId="480E01A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994" w:type="dxa"/>
            <w:vMerge w:val="restart"/>
            <w:tcBorders>
              <w:top w:val="single" w:color="000000" w:sz="4" w:space="0"/>
              <w:left w:val="single" w:color="000000" w:sz="4" w:space="0"/>
              <w:right w:val="single" w:color="000000" w:sz="4" w:space="0"/>
            </w:tcBorders>
            <w:shd w:val="clear" w:color="auto" w:fill="auto"/>
            <w:vAlign w:val="center"/>
          </w:tcPr>
          <w:p w14:paraId="2F2E57FB">
            <w:pPr>
              <w:widowControl/>
              <w:jc w:val="center"/>
              <w:textAlignment w:val="center"/>
              <w:rPr>
                <w:rFonts w:ascii="宋体" w:hAnsi="宋体" w:cs="宋体"/>
                <w:color w:val="000000"/>
                <w:sz w:val="20"/>
                <w:szCs w:val="20"/>
              </w:rPr>
            </w:pPr>
            <w:r>
              <w:rPr>
                <w:rFonts w:hint="eastAsia" w:ascii="宋体" w:hAnsi="宋体" w:cs="宋体"/>
                <w:color w:val="000000"/>
                <w:sz w:val="20"/>
                <w:szCs w:val="20"/>
                <w:lang w:val="en-US" w:eastAsia="zh-CN"/>
              </w:rPr>
              <w:t>龙岩经济发展集团有限公司</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1CFE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val="en-US" w:eastAsia="zh-CN" w:bidi="ar"/>
              </w:rPr>
              <w:t>2021年度7-12月运营费</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0B19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val="en-US" w:eastAsia="zh-CN" w:bidi="ar"/>
              </w:rPr>
              <w:t>65.5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D803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val="en-US" w:eastAsia="zh-CN" w:bidi="ar"/>
              </w:rPr>
              <w:t>65.5</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04D3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3071" w:type="dxa"/>
            <w:vMerge w:val="restart"/>
            <w:tcBorders>
              <w:top w:val="single" w:color="000000" w:sz="4" w:space="0"/>
              <w:left w:val="single" w:color="000000" w:sz="4" w:space="0"/>
              <w:right w:val="single" w:color="000000" w:sz="4" w:space="0"/>
            </w:tcBorders>
            <w:shd w:val="clear" w:color="auto" w:fill="auto"/>
            <w:vAlign w:val="center"/>
          </w:tcPr>
          <w:p w14:paraId="6548500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val="en-US" w:eastAsia="zh-CN" w:bidi="ar"/>
              </w:rPr>
              <w:t>根据《龙岩经济技术开发区（龙岩高新区）党政联席会议纪要》（【2021】7号）文件，运营期间平台运营管理费按30元/㎡/月补助，总面积3636.59㎡。</w:t>
            </w:r>
          </w:p>
        </w:tc>
      </w:tr>
      <w:tr w14:paraId="5CAD64AE">
        <w:tblPrEx>
          <w:tblCellMar>
            <w:top w:w="15" w:type="dxa"/>
            <w:left w:w="15" w:type="dxa"/>
            <w:bottom w:w="15" w:type="dxa"/>
            <w:right w:w="15" w:type="dxa"/>
          </w:tblCellMar>
        </w:tblPrEx>
        <w:trPr>
          <w:trHeight w:val="500" w:hRule="atLeast"/>
        </w:trPr>
        <w:tc>
          <w:tcPr>
            <w:tcW w:w="300" w:type="dxa"/>
            <w:vMerge w:val="continue"/>
            <w:tcBorders>
              <w:left w:val="single" w:color="000000" w:sz="4" w:space="0"/>
              <w:right w:val="single" w:color="000000" w:sz="4" w:space="0"/>
            </w:tcBorders>
            <w:shd w:val="clear" w:color="auto" w:fill="auto"/>
            <w:vAlign w:val="center"/>
          </w:tcPr>
          <w:p w14:paraId="5299E755">
            <w:pPr>
              <w:widowControl/>
              <w:jc w:val="center"/>
              <w:textAlignment w:val="center"/>
              <w:rPr>
                <w:rFonts w:ascii="宋体" w:hAnsi="宋体" w:cs="宋体"/>
                <w:color w:val="000000"/>
                <w:sz w:val="20"/>
                <w:szCs w:val="20"/>
              </w:rPr>
            </w:pPr>
          </w:p>
        </w:tc>
        <w:tc>
          <w:tcPr>
            <w:tcW w:w="994" w:type="dxa"/>
            <w:vMerge w:val="continue"/>
            <w:tcBorders>
              <w:left w:val="single" w:color="000000" w:sz="4" w:space="0"/>
              <w:right w:val="single" w:color="000000" w:sz="4" w:space="0"/>
            </w:tcBorders>
            <w:shd w:val="clear" w:color="auto" w:fill="auto"/>
            <w:vAlign w:val="center"/>
          </w:tcPr>
          <w:p w14:paraId="5E443D4C">
            <w:pPr>
              <w:widowControl/>
              <w:jc w:val="center"/>
              <w:textAlignment w:val="center"/>
              <w:rPr>
                <w:rFonts w:ascii="宋体" w:hAnsi="宋体" w:cs="宋体"/>
                <w:color w:val="000000"/>
                <w:sz w:val="20"/>
                <w:szCs w:val="20"/>
              </w:rPr>
            </w:pPr>
          </w:p>
        </w:tc>
        <w:tc>
          <w:tcPr>
            <w:tcW w:w="1155" w:type="dxa"/>
            <w:vMerge w:val="restart"/>
            <w:tcBorders>
              <w:top w:val="single" w:color="000000" w:sz="4" w:space="0"/>
              <w:left w:val="single" w:color="000000" w:sz="4" w:space="0"/>
              <w:right w:val="single" w:color="000000" w:sz="4" w:space="0"/>
            </w:tcBorders>
            <w:shd w:val="clear" w:color="auto" w:fill="auto"/>
            <w:vAlign w:val="center"/>
          </w:tcPr>
          <w:p w14:paraId="6314AF45">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2022年度运营费</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79D92">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7C53D">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D971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t>
            </w:r>
          </w:p>
        </w:tc>
        <w:tc>
          <w:tcPr>
            <w:tcW w:w="3071" w:type="dxa"/>
            <w:vMerge w:val="continue"/>
            <w:tcBorders>
              <w:left w:val="single" w:color="000000" w:sz="4" w:space="0"/>
              <w:right w:val="single" w:color="000000" w:sz="4" w:space="0"/>
            </w:tcBorders>
            <w:shd w:val="clear" w:color="auto" w:fill="auto"/>
            <w:vAlign w:val="center"/>
          </w:tcPr>
          <w:p w14:paraId="207695BD">
            <w:pPr>
              <w:widowControl/>
              <w:jc w:val="center"/>
              <w:textAlignment w:val="center"/>
              <w:rPr>
                <w:rFonts w:ascii="宋体" w:hAnsi="宋体" w:cs="宋体"/>
                <w:color w:val="000000"/>
                <w:sz w:val="20"/>
                <w:szCs w:val="20"/>
              </w:rPr>
            </w:pPr>
          </w:p>
        </w:tc>
      </w:tr>
      <w:tr w14:paraId="18C7E477">
        <w:tblPrEx>
          <w:tblCellMar>
            <w:top w:w="15" w:type="dxa"/>
            <w:left w:w="15" w:type="dxa"/>
            <w:bottom w:w="15" w:type="dxa"/>
            <w:right w:w="15" w:type="dxa"/>
          </w:tblCellMar>
        </w:tblPrEx>
        <w:trPr>
          <w:trHeight w:val="536" w:hRule="atLeast"/>
        </w:trPr>
        <w:tc>
          <w:tcPr>
            <w:tcW w:w="300" w:type="dxa"/>
            <w:vMerge w:val="continue"/>
            <w:tcBorders>
              <w:left w:val="single" w:color="000000" w:sz="4" w:space="0"/>
              <w:bottom w:val="single" w:color="000000" w:sz="4" w:space="0"/>
              <w:right w:val="single" w:color="000000" w:sz="4" w:space="0"/>
            </w:tcBorders>
            <w:shd w:val="clear" w:color="auto" w:fill="auto"/>
            <w:vAlign w:val="center"/>
          </w:tcPr>
          <w:p w14:paraId="22F11FCA">
            <w:pPr>
              <w:widowControl/>
              <w:jc w:val="center"/>
              <w:textAlignment w:val="center"/>
              <w:rPr>
                <w:rFonts w:ascii="宋体" w:hAnsi="宋体" w:cs="宋体"/>
                <w:color w:val="000000"/>
                <w:sz w:val="20"/>
                <w:szCs w:val="20"/>
              </w:rPr>
            </w:pPr>
          </w:p>
        </w:tc>
        <w:tc>
          <w:tcPr>
            <w:tcW w:w="994" w:type="dxa"/>
            <w:vMerge w:val="continue"/>
            <w:tcBorders>
              <w:left w:val="single" w:color="000000" w:sz="4" w:space="0"/>
              <w:bottom w:val="single" w:color="000000" w:sz="4" w:space="0"/>
              <w:right w:val="single" w:color="000000" w:sz="4" w:space="0"/>
            </w:tcBorders>
            <w:shd w:val="clear" w:color="auto" w:fill="auto"/>
            <w:vAlign w:val="center"/>
          </w:tcPr>
          <w:p w14:paraId="7F4DADEA">
            <w:pPr>
              <w:widowControl/>
              <w:jc w:val="center"/>
              <w:textAlignment w:val="center"/>
              <w:rPr>
                <w:rFonts w:ascii="宋体" w:hAnsi="宋体" w:cs="宋体"/>
                <w:color w:val="000000"/>
                <w:sz w:val="20"/>
                <w:szCs w:val="20"/>
              </w:rPr>
            </w:pPr>
          </w:p>
        </w:tc>
        <w:tc>
          <w:tcPr>
            <w:tcW w:w="1155" w:type="dxa"/>
            <w:vMerge w:val="continue"/>
            <w:tcBorders>
              <w:left w:val="single" w:color="000000" w:sz="4" w:space="0"/>
              <w:bottom w:val="single" w:color="000000" w:sz="4" w:space="0"/>
              <w:right w:val="single" w:color="000000" w:sz="4" w:space="0"/>
            </w:tcBorders>
            <w:shd w:val="clear" w:color="auto" w:fill="auto"/>
            <w:vAlign w:val="center"/>
          </w:tcPr>
          <w:p w14:paraId="7882D930">
            <w:pPr>
              <w:widowControl/>
              <w:jc w:val="center"/>
              <w:textAlignment w:val="center"/>
              <w:rPr>
                <w:rFonts w:ascii="宋体" w:hAnsi="宋体" w:cs="宋体"/>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91822">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128.08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34F4E">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128.08</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AC4B6">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kern w:val="0"/>
                <w:sz w:val="20"/>
                <w:szCs w:val="20"/>
                <w:lang w:bidi="ar"/>
              </w:rPr>
              <w:t>-</w:t>
            </w:r>
          </w:p>
        </w:tc>
        <w:tc>
          <w:tcPr>
            <w:tcW w:w="3071" w:type="dxa"/>
            <w:vMerge w:val="continue"/>
            <w:tcBorders>
              <w:left w:val="single" w:color="000000" w:sz="4" w:space="0"/>
              <w:bottom w:val="single" w:color="000000" w:sz="4" w:space="0"/>
              <w:right w:val="single" w:color="000000" w:sz="4" w:space="0"/>
            </w:tcBorders>
            <w:shd w:val="clear" w:color="auto" w:fill="auto"/>
            <w:vAlign w:val="center"/>
          </w:tcPr>
          <w:p w14:paraId="5768724A">
            <w:pPr>
              <w:widowControl/>
              <w:jc w:val="center"/>
              <w:textAlignment w:val="center"/>
              <w:rPr>
                <w:rFonts w:ascii="宋体" w:hAnsi="宋体" w:cs="宋体"/>
                <w:color w:val="000000"/>
                <w:sz w:val="20"/>
                <w:szCs w:val="20"/>
              </w:rPr>
            </w:pPr>
          </w:p>
        </w:tc>
      </w:tr>
      <w:tr w14:paraId="4621B5D6">
        <w:tblPrEx>
          <w:tblCellMar>
            <w:top w:w="15" w:type="dxa"/>
            <w:left w:w="15" w:type="dxa"/>
            <w:bottom w:w="15" w:type="dxa"/>
            <w:right w:w="15" w:type="dxa"/>
          </w:tblCellMar>
        </w:tblPrEx>
        <w:trPr>
          <w:trHeight w:val="545" w:hRule="atLeast"/>
        </w:trPr>
        <w:tc>
          <w:tcPr>
            <w:tcW w:w="2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2B1586">
            <w:pPr>
              <w:widowControl/>
              <w:jc w:val="center"/>
              <w:textAlignment w:val="center"/>
              <w:rPr>
                <w:rFonts w:hint="eastAsia" w:ascii="宋体" w:hAnsi="宋体" w:eastAsia="宋体" w:cs="宋体"/>
                <w:sz w:val="20"/>
                <w:szCs w:val="20"/>
                <w:lang w:val="en-US" w:eastAsia="zh-CN"/>
              </w:rPr>
            </w:pPr>
            <w:r>
              <w:rPr>
                <w:rFonts w:hint="eastAsia" w:ascii="宋体" w:hAnsi="宋体" w:cs="宋体"/>
                <w:sz w:val="20"/>
                <w:szCs w:val="20"/>
                <w:lang w:val="en-US" w:eastAsia="zh-CN"/>
              </w:rPr>
              <w:t>小计</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FC75E">
            <w:pPr>
              <w:widowControl/>
              <w:jc w:val="center"/>
              <w:textAlignment w:val="center"/>
              <w:rPr>
                <w:rFonts w:ascii="宋体" w:hAnsi="宋体" w:cs="宋体"/>
                <w:sz w:val="20"/>
                <w:szCs w:val="20"/>
              </w:rPr>
            </w:pPr>
            <w:r>
              <w:rPr>
                <w:rFonts w:hint="eastAsia" w:ascii="宋体" w:hAnsi="宋体" w:cs="宋体"/>
                <w:sz w:val="20"/>
                <w:szCs w:val="20"/>
                <w:lang w:val="en-US" w:eastAsia="zh-CN"/>
              </w:rPr>
              <w:fldChar w:fldCharType="begin"/>
            </w:r>
            <w:r>
              <w:rPr>
                <w:rFonts w:hint="eastAsia" w:ascii="宋体" w:hAnsi="宋体" w:cs="宋体"/>
                <w:sz w:val="20"/>
                <w:szCs w:val="20"/>
                <w:lang w:val="en-US" w:eastAsia="zh-CN"/>
              </w:rPr>
              <w:instrText xml:space="preserve"> = sum(D8:D10) \* MERGEFORMAT </w:instrText>
            </w:r>
            <w:r>
              <w:rPr>
                <w:rFonts w:hint="eastAsia" w:ascii="宋体" w:hAnsi="宋体" w:cs="宋体"/>
                <w:sz w:val="20"/>
                <w:szCs w:val="20"/>
                <w:lang w:val="en-US" w:eastAsia="zh-CN"/>
              </w:rPr>
              <w:fldChar w:fldCharType="separate"/>
            </w:r>
            <w:r>
              <w:rPr>
                <w:rFonts w:hint="eastAsia" w:ascii="宋体" w:hAnsi="宋体" w:cs="宋体"/>
                <w:sz w:val="20"/>
                <w:szCs w:val="20"/>
                <w:lang w:val="en-US" w:eastAsia="zh-CN"/>
              </w:rPr>
              <w:t>196.58</w:t>
            </w:r>
            <w:r>
              <w:rPr>
                <w:rFonts w:hint="eastAsia" w:ascii="宋体" w:hAnsi="宋体" w:cs="宋体"/>
                <w:sz w:val="20"/>
                <w:szCs w:val="20"/>
                <w:lang w:val="en-US" w:eastAsia="zh-CN"/>
              </w:rPr>
              <w:fldChar w:fldCharType="end"/>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2BBC8">
            <w:pPr>
              <w:jc w:val="center"/>
              <w:rPr>
                <w:rFonts w:ascii="宋体" w:hAnsi="宋体" w:eastAsia="宋体" w:cs="宋体"/>
                <w:kern w:val="2"/>
                <w:sz w:val="22"/>
                <w:szCs w:val="22"/>
                <w:lang w:val="en-US" w:eastAsia="zh-CN" w:bidi="ar-SA"/>
              </w:rPr>
            </w:pPr>
            <w:r>
              <w:rPr>
                <w:rFonts w:ascii="宋体" w:hAnsi="宋体" w:cs="宋体"/>
                <w:sz w:val="22"/>
                <w:szCs w:val="22"/>
              </w:rPr>
              <w:fldChar w:fldCharType="begin"/>
            </w:r>
            <w:r>
              <w:rPr>
                <w:rFonts w:ascii="宋体" w:hAnsi="宋体" w:cs="宋体"/>
                <w:sz w:val="22"/>
                <w:szCs w:val="22"/>
              </w:rPr>
              <w:instrText xml:space="preserve"> = sum(E8:E10) \* MERGEFORMAT </w:instrText>
            </w:r>
            <w:r>
              <w:rPr>
                <w:rFonts w:ascii="宋体" w:hAnsi="宋体" w:cs="宋体"/>
                <w:sz w:val="22"/>
                <w:szCs w:val="22"/>
              </w:rPr>
              <w:fldChar w:fldCharType="separate"/>
            </w:r>
            <w:r>
              <w:rPr>
                <w:rFonts w:ascii="宋体" w:hAnsi="宋体" w:cs="宋体"/>
                <w:sz w:val="22"/>
                <w:szCs w:val="22"/>
              </w:rPr>
              <w:t>196.58</w:t>
            </w:r>
            <w:r>
              <w:rPr>
                <w:rFonts w:ascii="宋体" w:hAnsi="宋体" w:cs="宋体"/>
                <w:sz w:val="22"/>
                <w:szCs w:val="22"/>
              </w:rPr>
              <w:fldChar w:fldCharType="end"/>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C22DE">
            <w:pPr>
              <w:widowControl/>
              <w:jc w:val="center"/>
              <w:textAlignment w:val="center"/>
              <w:rPr>
                <w:rFonts w:hint="eastAsia" w:ascii="宋体" w:hAnsi="宋体" w:cs="宋体"/>
                <w:sz w:val="20"/>
                <w:szCs w:val="20"/>
                <w:lang w:val="en-US" w:eastAsia="zh-CN"/>
              </w:rPr>
            </w:pPr>
            <w:r>
              <w:rPr>
                <w:rFonts w:hint="eastAsia" w:ascii="宋体" w:hAnsi="宋体" w:cs="宋体"/>
                <w:color w:val="000000"/>
                <w:kern w:val="0"/>
                <w:sz w:val="20"/>
                <w:szCs w:val="20"/>
                <w:lang w:bidi="ar"/>
              </w:rPr>
              <w:t>-</w:t>
            </w:r>
          </w:p>
        </w:tc>
        <w:tc>
          <w:tcPr>
            <w:tcW w:w="3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1F81D">
            <w:pPr>
              <w:jc w:val="center"/>
              <w:rPr>
                <w:rFonts w:ascii="宋体" w:hAnsi="宋体" w:cs="宋体"/>
                <w:sz w:val="22"/>
                <w:szCs w:val="22"/>
              </w:rPr>
            </w:pPr>
          </w:p>
        </w:tc>
      </w:tr>
      <w:tr w14:paraId="26A9C999">
        <w:tblPrEx>
          <w:tblCellMar>
            <w:top w:w="15" w:type="dxa"/>
            <w:left w:w="15" w:type="dxa"/>
            <w:bottom w:w="15" w:type="dxa"/>
            <w:right w:w="15" w:type="dxa"/>
          </w:tblCellMar>
        </w:tblPrEx>
        <w:trPr>
          <w:trHeight w:val="615" w:hRule="atLeast"/>
        </w:trPr>
        <w:tc>
          <w:tcPr>
            <w:tcW w:w="2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28C132">
            <w:pPr>
              <w:widowControl/>
              <w:jc w:val="center"/>
              <w:textAlignment w:val="center"/>
              <w:rPr>
                <w:rFonts w:ascii="宋体" w:hAnsi="宋体" w:cs="宋体"/>
                <w:sz w:val="20"/>
                <w:szCs w:val="20"/>
              </w:rPr>
            </w:pPr>
            <w:r>
              <w:rPr>
                <w:rFonts w:hint="eastAsia" w:ascii="宋体" w:hAnsi="宋体" w:cs="宋体"/>
                <w:color w:val="000000"/>
                <w:kern w:val="0"/>
                <w:sz w:val="20"/>
                <w:szCs w:val="20"/>
                <w:lang w:bidi="ar"/>
              </w:rPr>
              <w:t>合计</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04747">
            <w:pPr>
              <w:widowControl/>
              <w:jc w:val="center"/>
              <w:textAlignment w:val="center"/>
              <w:rPr>
                <w:rFonts w:ascii="宋体" w:hAnsi="宋体" w:cs="宋体"/>
                <w:sz w:val="20"/>
                <w:szCs w:val="20"/>
              </w:rPr>
            </w:pPr>
            <w:r>
              <w:rPr>
                <w:rFonts w:ascii="宋体" w:hAnsi="宋体" w:cs="宋体"/>
                <w:sz w:val="20"/>
                <w:szCs w:val="20"/>
              </w:rPr>
              <w:fldChar w:fldCharType="begin"/>
            </w:r>
            <w:r>
              <w:rPr>
                <w:rFonts w:ascii="宋体" w:hAnsi="宋体" w:cs="宋体"/>
                <w:sz w:val="20"/>
                <w:szCs w:val="20"/>
              </w:rPr>
              <w:instrText xml:space="preserve"> = sum(D2:D9) \* MERGEFORMAT </w:instrText>
            </w:r>
            <w:r>
              <w:rPr>
                <w:rFonts w:ascii="宋体" w:hAnsi="宋体" w:cs="宋体"/>
                <w:sz w:val="20"/>
                <w:szCs w:val="20"/>
              </w:rPr>
              <w:fldChar w:fldCharType="separate"/>
            </w:r>
            <w:r>
              <w:rPr>
                <w:rFonts w:ascii="宋体" w:hAnsi="宋体" w:cs="宋体"/>
                <w:sz w:val="20"/>
                <w:szCs w:val="20"/>
              </w:rPr>
              <w:t>809.5</w:t>
            </w:r>
            <w:r>
              <w:rPr>
                <w:rFonts w:ascii="宋体" w:hAnsi="宋体" w:cs="宋体"/>
                <w:sz w:val="20"/>
                <w:szCs w:val="20"/>
              </w:rPr>
              <w:fldChar w:fldCharType="end"/>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7D77B">
            <w:pPr>
              <w:widowControl/>
              <w:jc w:val="center"/>
              <w:textAlignment w:val="center"/>
              <w:rPr>
                <w:rFonts w:ascii="宋体" w:hAnsi="宋体" w:cs="宋体"/>
                <w:sz w:val="20"/>
                <w:szCs w:val="20"/>
              </w:rPr>
            </w:pPr>
            <w:r>
              <w:rPr>
                <w:rFonts w:ascii="宋体" w:hAnsi="宋体" w:cs="宋体"/>
                <w:sz w:val="20"/>
                <w:szCs w:val="20"/>
              </w:rPr>
              <w:fldChar w:fldCharType="begin"/>
            </w:r>
            <w:r>
              <w:rPr>
                <w:rFonts w:ascii="宋体" w:hAnsi="宋体" w:cs="宋体"/>
                <w:sz w:val="20"/>
                <w:szCs w:val="20"/>
              </w:rPr>
              <w:instrText xml:space="preserve"> = sum(E2:E9) \* MERGEFORMAT </w:instrText>
            </w:r>
            <w:r>
              <w:rPr>
                <w:rFonts w:ascii="宋体" w:hAnsi="宋体" w:cs="宋体"/>
                <w:sz w:val="20"/>
                <w:szCs w:val="20"/>
              </w:rPr>
              <w:fldChar w:fldCharType="separate"/>
            </w:r>
            <w:r>
              <w:rPr>
                <w:rFonts w:ascii="宋体" w:hAnsi="宋体" w:cs="宋体"/>
                <w:sz w:val="20"/>
                <w:szCs w:val="20"/>
              </w:rPr>
              <w:t>808.88</w:t>
            </w:r>
            <w:r>
              <w:rPr>
                <w:rFonts w:ascii="宋体" w:hAnsi="宋体" w:cs="宋体"/>
                <w:sz w:val="20"/>
                <w:szCs w:val="20"/>
              </w:rPr>
              <w:fldChar w:fldCharType="end"/>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6CB95">
            <w:pPr>
              <w:widowControl/>
              <w:jc w:val="center"/>
              <w:textAlignment w:val="center"/>
              <w:rPr>
                <w:rFonts w:hint="default" w:ascii="宋体" w:hAnsi="宋体" w:eastAsia="宋体" w:cs="宋体"/>
                <w:sz w:val="20"/>
                <w:szCs w:val="20"/>
                <w:lang w:val="en-US" w:eastAsia="zh-CN"/>
              </w:rPr>
            </w:pPr>
            <w:r>
              <w:rPr>
                <w:rFonts w:hint="eastAsia" w:ascii="宋体" w:hAnsi="宋体" w:cs="宋体"/>
                <w:sz w:val="20"/>
                <w:szCs w:val="20"/>
                <w:lang w:val="en-US" w:eastAsia="zh-CN"/>
              </w:rPr>
              <w:t>0.62</w:t>
            </w:r>
          </w:p>
        </w:tc>
        <w:tc>
          <w:tcPr>
            <w:tcW w:w="3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E0151">
            <w:pPr>
              <w:jc w:val="center"/>
              <w:rPr>
                <w:rFonts w:ascii="宋体" w:hAnsi="宋体" w:cs="宋体"/>
                <w:sz w:val="22"/>
                <w:szCs w:val="22"/>
              </w:rPr>
            </w:pPr>
          </w:p>
        </w:tc>
      </w:tr>
    </w:tbl>
    <w:p w14:paraId="64CEB8B5">
      <w:pPr>
        <w:numPr>
          <w:ilvl w:val="0"/>
          <w:numId w:val="1"/>
        </w:numPr>
        <w:spacing w:line="520" w:lineRule="exact"/>
        <w:ind w:firstLine="663" w:firstLineChars="236"/>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项目评价目的</w:t>
      </w:r>
    </w:p>
    <w:p w14:paraId="299E3983">
      <w:pPr>
        <w:shd w:val="clear"/>
        <w:spacing w:line="520" w:lineRule="exact"/>
        <w:ind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此次评价旨在了解</w:t>
      </w:r>
      <w:r>
        <w:rPr>
          <w:rFonts w:hint="eastAsia" w:asciiTheme="minorEastAsia" w:hAnsiTheme="minorEastAsia" w:eastAsiaTheme="minorEastAsia" w:cstheme="minorEastAsia"/>
          <w:sz w:val="28"/>
          <w:szCs w:val="28"/>
          <w:lang w:val="en-US" w:eastAsia="zh-CN"/>
        </w:rPr>
        <w:t>龙岩跨境电商生态圈建设及运营管理</w:t>
      </w:r>
      <w:r>
        <w:rPr>
          <w:rFonts w:hint="eastAsia" w:asciiTheme="minorEastAsia" w:hAnsiTheme="minorEastAsia" w:eastAsiaTheme="minorEastAsia" w:cstheme="minorEastAsia"/>
          <w:sz w:val="28"/>
          <w:szCs w:val="28"/>
        </w:rPr>
        <w:t>专项资金使用现状包括资金投入情况、管理使用情况、产出与效益情况的基础上，再对项目对应指标作出评分，有利于促进</w:t>
      </w:r>
      <w:r>
        <w:rPr>
          <w:rFonts w:hint="eastAsia" w:asciiTheme="minorEastAsia" w:hAnsiTheme="minorEastAsia" w:eastAsiaTheme="minorEastAsia" w:cstheme="minorEastAsia"/>
          <w:sz w:val="28"/>
          <w:szCs w:val="28"/>
          <w:lang w:val="en-US" w:eastAsia="zh-CN"/>
        </w:rPr>
        <w:t>龙岩跨境电商生态圈</w:t>
      </w:r>
      <w:r>
        <w:rPr>
          <w:rFonts w:hint="eastAsia" w:asciiTheme="minorEastAsia" w:hAnsiTheme="minorEastAsia" w:eastAsiaTheme="minorEastAsia" w:cstheme="minorEastAsia"/>
          <w:sz w:val="28"/>
          <w:szCs w:val="28"/>
        </w:rPr>
        <w:t>建设</w:t>
      </w:r>
      <w:r>
        <w:rPr>
          <w:rFonts w:hint="eastAsia" w:asciiTheme="minorEastAsia" w:hAnsiTheme="minorEastAsia" w:eastAsiaTheme="minorEastAsia" w:cstheme="minorEastAsia"/>
          <w:sz w:val="28"/>
          <w:szCs w:val="28"/>
          <w:lang w:val="en-US" w:eastAsia="zh-CN"/>
        </w:rPr>
        <w:t>及运营管理</w:t>
      </w:r>
      <w:r>
        <w:rPr>
          <w:rFonts w:hint="eastAsia" w:asciiTheme="minorEastAsia" w:hAnsiTheme="minorEastAsia" w:eastAsiaTheme="minorEastAsia" w:cstheme="minorEastAsia"/>
          <w:sz w:val="28"/>
          <w:szCs w:val="28"/>
        </w:rPr>
        <w:t>专项资金的规范使用，提高财政资金的使用安全、效益。根据</w:t>
      </w:r>
      <w:r>
        <w:rPr>
          <w:rFonts w:hint="eastAsia" w:asciiTheme="minorEastAsia" w:hAnsiTheme="minorEastAsia" w:eastAsiaTheme="minorEastAsia" w:cstheme="minorEastAsia"/>
          <w:sz w:val="28"/>
          <w:szCs w:val="28"/>
          <w:highlight w:val="none"/>
          <w:lang w:val="en-US" w:eastAsia="zh-CN"/>
        </w:rPr>
        <w:t>项目</w:t>
      </w:r>
      <w:r>
        <w:rPr>
          <w:rFonts w:hint="eastAsia" w:asciiTheme="minorEastAsia" w:hAnsiTheme="minorEastAsia" w:eastAsiaTheme="minorEastAsia" w:cstheme="minorEastAsia"/>
          <w:sz w:val="28"/>
          <w:szCs w:val="28"/>
          <w:highlight w:val="none"/>
        </w:rPr>
        <w:t>建设</w:t>
      </w:r>
      <w:r>
        <w:rPr>
          <w:rFonts w:hint="eastAsia" w:asciiTheme="minorEastAsia" w:hAnsiTheme="minorEastAsia" w:eastAsiaTheme="minorEastAsia" w:cstheme="minorEastAsia"/>
          <w:sz w:val="28"/>
          <w:szCs w:val="28"/>
          <w:highlight w:val="none"/>
          <w:lang w:val="en-US" w:eastAsia="zh-CN"/>
        </w:rPr>
        <w:t>及运营管理</w:t>
      </w:r>
      <w:r>
        <w:rPr>
          <w:rFonts w:hint="eastAsia" w:asciiTheme="minorEastAsia" w:hAnsiTheme="minorEastAsia" w:eastAsiaTheme="minorEastAsia" w:cstheme="minorEastAsia"/>
          <w:sz w:val="28"/>
          <w:szCs w:val="28"/>
          <w:highlight w:val="none"/>
        </w:rPr>
        <w:t>专项资金绩效评价的要求，此次项目绩效目的包括：</w:t>
      </w:r>
    </w:p>
    <w:p w14:paraId="22CFD2B9">
      <w:pPr>
        <w:spacing w:line="520" w:lineRule="exact"/>
        <w:ind w:firstLine="663" w:firstLineChars="236"/>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1.分析和厘清</w:t>
      </w:r>
      <w:r>
        <w:rPr>
          <w:rFonts w:hint="eastAsia" w:asciiTheme="minorEastAsia" w:hAnsiTheme="minorEastAsia" w:eastAsiaTheme="minorEastAsia" w:cstheme="minorEastAsia"/>
          <w:b/>
          <w:sz w:val="28"/>
          <w:szCs w:val="28"/>
          <w:lang w:val="en-US" w:eastAsia="zh-CN"/>
        </w:rPr>
        <w:t>龙岩跨境电商生态圈</w:t>
      </w:r>
      <w:r>
        <w:rPr>
          <w:rFonts w:hint="eastAsia" w:asciiTheme="minorEastAsia" w:hAnsiTheme="minorEastAsia" w:eastAsiaTheme="minorEastAsia" w:cstheme="minorEastAsia"/>
          <w:b/>
          <w:sz w:val="28"/>
          <w:szCs w:val="28"/>
        </w:rPr>
        <w:t>的现状</w:t>
      </w:r>
    </w:p>
    <w:p w14:paraId="19504F20">
      <w:pPr>
        <w:spacing w:line="520" w:lineRule="exact"/>
        <w:ind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highlight w:val="none"/>
        </w:rPr>
        <w:t>对龙岩高新区（经开区）</w:t>
      </w:r>
      <w:r>
        <w:rPr>
          <w:rFonts w:hint="eastAsia" w:asciiTheme="minorEastAsia" w:hAnsiTheme="minorEastAsia" w:eastAsiaTheme="minorEastAsia" w:cstheme="minorEastAsia"/>
          <w:sz w:val="28"/>
          <w:szCs w:val="28"/>
          <w:highlight w:val="none"/>
          <w:lang w:val="en-US" w:eastAsia="zh-CN"/>
        </w:rPr>
        <w:t>企业服务中心</w:t>
      </w:r>
      <w:r>
        <w:rPr>
          <w:rFonts w:hint="eastAsia" w:asciiTheme="minorEastAsia" w:hAnsiTheme="minorEastAsia" w:eastAsiaTheme="minorEastAsia" w:cstheme="minorEastAsia"/>
          <w:sz w:val="28"/>
          <w:szCs w:val="28"/>
          <w:highlight w:val="none"/>
        </w:rPr>
        <w:t>收到龙岩高新区（经开区）财政金融局拨付的</w:t>
      </w:r>
      <w:r>
        <w:rPr>
          <w:rFonts w:hint="eastAsia" w:asciiTheme="minorEastAsia" w:hAnsiTheme="minorEastAsia" w:eastAsiaTheme="minorEastAsia" w:cstheme="minorEastAsia"/>
          <w:sz w:val="28"/>
          <w:szCs w:val="28"/>
          <w:highlight w:val="none"/>
          <w:lang w:val="en-US" w:eastAsia="zh-CN"/>
        </w:rPr>
        <w:t>龙岩跨境电商生态圈建设及运营管理</w:t>
      </w:r>
      <w:r>
        <w:rPr>
          <w:rFonts w:hint="eastAsia" w:asciiTheme="minorEastAsia" w:hAnsiTheme="minorEastAsia" w:eastAsiaTheme="minorEastAsia" w:cstheme="minorEastAsia"/>
          <w:sz w:val="28"/>
          <w:szCs w:val="28"/>
          <w:highlight w:val="none"/>
        </w:rPr>
        <w:t>专项资金</w:t>
      </w:r>
      <w:r>
        <w:rPr>
          <w:rFonts w:hint="eastAsia" w:asciiTheme="minorEastAsia" w:hAnsiTheme="minorEastAsia" w:eastAsiaTheme="minorEastAsia" w:cstheme="minorEastAsia"/>
          <w:sz w:val="28"/>
          <w:szCs w:val="28"/>
          <w:highlight w:val="none"/>
          <w:lang w:val="en-US" w:eastAsia="zh-CN"/>
        </w:rPr>
        <w:t>809.50</w:t>
      </w:r>
      <w:r>
        <w:rPr>
          <w:rFonts w:hint="eastAsia" w:asciiTheme="minorEastAsia" w:hAnsiTheme="minorEastAsia" w:eastAsiaTheme="minorEastAsia" w:cstheme="minorEastAsia"/>
          <w:sz w:val="28"/>
          <w:szCs w:val="28"/>
          <w:highlight w:val="none"/>
        </w:rPr>
        <w:t>万元的项目资金收支情况进行查阅了解，对项目预期目标的完成情况，包括项目实施过程中的管理效率及项目本身的经济性、效率性、效果性和可持续性等相关内容进行复核分析，对预算项目预期计划目标的实现程度进行综合性考核与评价。</w:t>
      </w:r>
    </w:p>
    <w:p w14:paraId="0CCCB1A4">
      <w:pPr>
        <w:spacing w:line="520" w:lineRule="exact"/>
        <w:ind w:firstLine="663" w:firstLineChars="236"/>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2.发现问题提出意见和建议，规范</w:t>
      </w:r>
      <w:r>
        <w:rPr>
          <w:rFonts w:hint="eastAsia" w:asciiTheme="minorEastAsia" w:hAnsiTheme="minorEastAsia" w:eastAsiaTheme="minorEastAsia" w:cstheme="minorEastAsia"/>
          <w:b/>
          <w:sz w:val="28"/>
          <w:szCs w:val="28"/>
          <w:lang w:val="en-US" w:eastAsia="zh-CN"/>
        </w:rPr>
        <w:t>龙岩跨境电商生态圈</w:t>
      </w:r>
      <w:r>
        <w:rPr>
          <w:rFonts w:hint="eastAsia" w:asciiTheme="minorEastAsia" w:hAnsiTheme="minorEastAsia" w:eastAsiaTheme="minorEastAsia" w:cstheme="minorEastAsia"/>
          <w:b/>
          <w:sz w:val="28"/>
          <w:szCs w:val="28"/>
        </w:rPr>
        <w:t>资金的使用</w:t>
      </w:r>
    </w:p>
    <w:p w14:paraId="4625A608">
      <w:pPr>
        <w:shd w:val="clear"/>
        <w:spacing w:line="520" w:lineRule="exact"/>
        <w:ind w:firstLine="660" w:firstLineChars="236"/>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评价过程中对发现使用</w:t>
      </w:r>
      <w:r>
        <w:rPr>
          <w:rFonts w:hint="eastAsia" w:asciiTheme="minorEastAsia" w:hAnsiTheme="minorEastAsia" w:eastAsiaTheme="minorEastAsia" w:cstheme="minorEastAsia"/>
          <w:sz w:val="28"/>
          <w:szCs w:val="28"/>
          <w:highlight w:val="none"/>
          <w:lang w:val="en-US" w:eastAsia="zh-CN"/>
        </w:rPr>
        <w:t>龙岩跨境电商生态圈建设及运营管理</w:t>
      </w:r>
      <w:r>
        <w:rPr>
          <w:rFonts w:hint="eastAsia" w:asciiTheme="minorEastAsia" w:hAnsiTheme="minorEastAsia" w:eastAsiaTheme="minorEastAsia" w:cstheme="minorEastAsia"/>
          <w:sz w:val="28"/>
          <w:szCs w:val="28"/>
          <w:highlight w:val="none"/>
        </w:rPr>
        <w:t>专项资金中的问题并提出建议，从而加强</w:t>
      </w:r>
      <w:r>
        <w:rPr>
          <w:rFonts w:hint="eastAsia" w:asciiTheme="minorEastAsia" w:hAnsiTheme="minorEastAsia" w:eastAsiaTheme="minorEastAsia" w:cstheme="minorEastAsia"/>
          <w:sz w:val="28"/>
          <w:szCs w:val="28"/>
          <w:highlight w:val="none"/>
          <w:lang w:val="en-US" w:eastAsia="zh-CN"/>
        </w:rPr>
        <w:t>龙岩跨境电商生态圈</w:t>
      </w:r>
      <w:r>
        <w:rPr>
          <w:rFonts w:hint="eastAsia" w:asciiTheme="minorEastAsia" w:hAnsiTheme="minorEastAsia" w:eastAsiaTheme="minorEastAsia" w:cstheme="minorEastAsia"/>
          <w:sz w:val="28"/>
          <w:szCs w:val="28"/>
          <w:highlight w:val="none"/>
        </w:rPr>
        <w:t>的预算管理，提高预算资金的使用效益，促进</w:t>
      </w:r>
      <w:r>
        <w:rPr>
          <w:rFonts w:hint="eastAsia" w:asciiTheme="minorEastAsia" w:hAnsiTheme="minorEastAsia" w:eastAsiaTheme="minorEastAsia" w:cstheme="minorEastAsia"/>
          <w:sz w:val="28"/>
          <w:szCs w:val="28"/>
          <w:highlight w:val="none"/>
          <w:lang w:val="en-US" w:eastAsia="zh-CN"/>
        </w:rPr>
        <w:t>跨境电商</w:t>
      </w:r>
      <w:r>
        <w:rPr>
          <w:rFonts w:hint="eastAsia" w:asciiTheme="minorEastAsia" w:hAnsiTheme="minorEastAsia" w:eastAsiaTheme="minorEastAsia" w:cstheme="minorEastAsia"/>
          <w:sz w:val="28"/>
          <w:szCs w:val="28"/>
          <w:highlight w:val="none"/>
        </w:rPr>
        <w:t>行业更好更快发展。</w:t>
      </w:r>
    </w:p>
    <w:p w14:paraId="4EDD7EA0">
      <w:pPr>
        <w:spacing w:line="520" w:lineRule="exact"/>
        <w:ind w:firstLine="663" w:firstLineChars="236"/>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二、项目绩效评价工作开展情况</w:t>
      </w:r>
    </w:p>
    <w:p w14:paraId="7DAB40E7">
      <w:pPr>
        <w:spacing w:line="520" w:lineRule="exact"/>
        <w:ind w:firstLine="663" w:firstLineChars="236"/>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（一）评价思路</w:t>
      </w:r>
    </w:p>
    <w:p w14:paraId="65D3F3A8">
      <w:pPr>
        <w:spacing w:line="520" w:lineRule="exact"/>
        <w:ind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对于此次</w:t>
      </w:r>
      <w:r>
        <w:rPr>
          <w:rFonts w:hint="eastAsia" w:asciiTheme="minorEastAsia" w:hAnsiTheme="minorEastAsia" w:eastAsiaTheme="minorEastAsia" w:cstheme="minorEastAsia"/>
          <w:sz w:val="28"/>
          <w:szCs w:val="28"/>
          <w:highlight w:val="none"/>
          <w:lang w:val="en-US" w:eastAsia="zh-CN"/>
        </w:rPr>
        <w:t>龙岩跨境电商生态圈</w:t>
      </w:r>
      <w:r>
        <w:rPr>
          <w:rFonts w:hint="eastAsia" w:asciiTheme="minorEastAsia" w:hAnsiTheme="minorEastAsia" w:eastAsiaTheme="minorEastAsia" w:cstheme="minorEastAsia"/>
          <w:sz w:val="28"/>
          <w:szCs w:val="28"/>
        </w:rPr>
        <w:t>专项资金评价，评价人员根据</w:t>
      </w:r>
      <w:r>
        <w:rPr>
          <w:rFonts w:hint="eastAsia" w:asciiTheme="minorEastAsia" w:hAnsiTheme="minorEastAsia" w:eastAsiaTheme="minorEastAsia" w:cstheme="minorEastAsia"/>
          <w:sz w:val="28"/>
          <w:szCs w:val="28"/>
          <w:lang w:val="en-US" w:eastAsia="zh-CN"/>
        </w:rPr>
        <w:t>龙岩高新区（经开区）财政金融局关于开展跨境电商生态圈费用项目绩效评价工作的通知</w:t>
      </w:r>
      <w:r>
        <w:rPr>
          <w:rFonts w:hint="eastAsia" w:asciiTheme="minorEastAsia" w:hAnsiTheme="minorEastAsia" w:eastAsiaTheme="minorEastAsia" w:cstheme="minorEastAsia"/>
          <w:sz w:val="28"/>
          <w:szCs w:val="28"/>
        </w:rPr>
        <w:t>和中国注册会计师协会对绩效评价业务指引总体要求、委托单位对此次</w:t>
      </w:r>
      <w:r>
        <w:rPr>
          <w:rFonts w:hint="eastAsia" w:asciiTheme="minorEastAsia" w:hAnsiTheme="minorEastAsia" w:eastAsiaTheme="minorEastAsia" w:cstheme="minorEastAsia"/>
          <w:sz w:val="28"/>
          <w:szCs w:val="28"/>
          <w:lang w:eastAsia="zh-CN"/>
        </w:rPr>
        <w:t>龙岩跨境电商生态圈</w:t>
      </w:r>
      <w:r>
        <w:rPr>
          <w:rFonts w:hint="eastAsia" w:asciiTheme="minorEastAsia" w:hAnsiTheme="minorEastAsia" w:eastAsiaTheme="minorEastAsia" w:cstheme="minorEastAsia"/>
          <w:sz w:val="28"/>
          <w:szCs w:val="28"/>
        </w:rPr>
        <w:t>项目绩效评价的具体要求，设立评价体系。</w:t>
      </w:r>
    </w:p>
    <w:p w14:paraId="35DEBF78">
      <w:pPr>
        <w:spacing w:line="520" w:lineRule="exact"/>
        <w:ind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首先了解</w:t>
      </w:r>
      <w:r>
        <w:rPr>
          <w:rFonts w:hint="eastAsia" w:asciiTheme="minorEastAsia" w:hAnsiTheme="minorEastAsia" w:eastAsiaTheme="minorEastAsia" w:cstheme="minorEastAsia"/>
          <w:sz w:val="28"/>
          <w:szCs w:val="28"/>
          <w:highlight w:val="none"/>
          <w:lang w:val="en-US" w:eastAsia="zh-CN"/>
        </w:rPr>
        <w:t>龙岩跨境电商生态圈</w:t>
      </w:r>
      <w:r>
        <w:rPr>
          <w:rFonts w:hint="eastAsia" w:asciiTheme="minorEastAsia" w:hAnsiTheme="minorEastAsia" w:eastAsiaTheme="minorEastAsia" w:cstheme="minorEastAsia"/>
          <w:sz w:val="28"/>
          <w:szCs w:val="28"/>
        </w:rPr>
        <w:t>专项资金的使用范围、对应具体项目实施情况；其次对</w:t>
      </w:r>
      <w:r>
        <w:rPr>
          <w:rFonts w:hint="eastAsia" w:asciiTheme="minorEastAsia" w:hAnsiTheme="minorEastAsia" w:eastAsiaTheme="minorEastAsia" w:cstheme="minorEastAsia"/>
          <w:sz w:val="28"/>
          <w:szCs w:val="28"/>
          <w:highlight w:val="none"/>
          <w:lang w:val="en-US" w:eastAsia="zh-CN"/>
        </w:rPr>
        <w:t>龙岩跨境电商生态圈</w:t>
      </w:r>
      <w:r>
        <w:rPr>
          <w:rFonts w:hint="eastAsia" w:asciiTheme="minorEastAsia" w:hAnsiTheme="minorEastAsia" w:eastAsiaTheme="minorEastAsia" w:cstheme="minorEastAsia"/>
          <w:sz w:val="28"/>
          <w:szCs w:val="28"/>
        </w:rPr>
        <w:t>专项</w:t>
      </w:r>
      <w:r>
        <w:rPr>
          <w:rFonts w:hint="eastAsia" w:asciiTheme="minorEastAsia" w:hAnsiTheme="minorEastAsia" w:eastAsiaTheme="minorEastAsia" w:cstheme="minorEastAsia"/>
          <w:sz w:val="28"/>
          <w:szCs w:val="28"/>
          <w:lang w:val="en-US" w:eastAsia="zh-CN"/>
        </w:rPr>
        <w:t>资金</w:t>
      </w:r>
      <w:r>
        <w:rPr>
          <w:rFonts w:hint="eastAsia" w:asciiTheme="minorEastAsia" w:hAnsiTheme="minorEastAsia" w:eastAsiaTheme="minorEastAsia" w:cstheme="minorEastAsia"/>
          <w:sz w:val="28"/>
          <w:szCs w:val="28"/>
        </w:rPr>
        <w:t>的使用情况和安全性重点关注；再次考虑项目所产出经济、社会效益；最后总结</w:t>
      </w:r>
      <w:r>
        <w:rPr>
          <w:rFonts w:hint="eastAsia" w:asciiTheme="minorEastAsia" w:hAnsiTheme="minorEastAsia" w:eastAsiaTheme="minorEastAsia" w:cstheme="minorEastAsia"/>
          <w:sz w:val="28"/>
          <w:szCs w:val="28"/>
          <w:highlight w:val="none"/>
          <w:lang w:val="en-US" w:eastAsia="zh-CN"/>
        </w:rPr>
        <w:t>龙岩跨境电商生态圈</w:t>
      </w:r>
      <w:r>
        <w:rPr>
          <w:rFonts w:hint="eastAsia" w:asciiTheme="minorEastAsia" w:hAnsiTheme="minorEastAsia" w:eastAsiaTheme="minorEastAsia" w:cstheme="minorEastAsia"/>
          <w:sz w:val="28"/>
          <w:szCs w:val="28"/>
          <w:lang w:val="en-US" w:eastAsia="zh-CN"/>
        </w:rPr>
        <w:t>建设的</w:t>
      </w:r>
      <w:r>
        <w:rPr>
          <w:rFonts w:hint="eastAsia" w:asciiTheme="minorEastAsia" w:hAnsiTheme="minorEastAsia" w:eastAsiaTheme="minorEastAsia" w:cstheme="minorEastAsia"/>
          <w:sz w:val="28"/>
          <w:szCs w:val="28"/>
        </w:rPr>
        <w:t>评价结果，并对发现问题提出建议。本次</w:t>
      </w:r>
      <w:r>
        <w:rPr>
          <w:rFonts w:hint="eastAsia" w:asciiTheme="minorEastAsia" w:hAnsiTheme="minorEastAsia" w:eastAsiaTheme="minorEastAsia" w:cstheme="minorEastAsia"/>
          <w:sz w:val="28"/>
          <w:szCs w:val="28"/>
          <w:highlight w:val="none"/>
          <w:lang w:val="en-US" w:eastAsia="zh-CN"/>
        </w:rPr>
        <w:t>龙岩跨境电商生态圈</w:t>
      </w:r>
      <w:r>
        <w:rPr>
          <w:rFonts w:hint="eastAsia" w:asciiTheme="minorEastAsia" w:hAnsiTheme="minorEastAsia" w:eastAsiaTheme="minorEastAsia" w:cstheme="minorEastAsia"/>
          <w:sz w:val="28"/>
          <w:szCs w:val="28"/>
          <w:lang w:val="en-US" w:eastAsia="zh-CN"/>
        </w:rPr>
        <w:t>建设</w:t>
      </w:r>
      <w:r>
        <w:rPr>
          <w:rFonts w:hint="eastAsia" w:asciiTheme="minorEastAsia" w:hAnsiTheme="minorEastAsia" w:eastAsiaTheme="minorEastAsia" w:cstheme="minorEastAsia"/>
          <w:sz w:val="28"/>
          <w:szCs w:val="28"/>
        </w:rPr>
        <w:t>项目评价将主要按照以下步骤内容开展：</w:t>
      </w:r>
    </w:p>
    <w:p w14:paraId="781AF181">
      <w:pPr>
        <w:spacing w:line="520" w:lineRule="exact"/>
        <w:ind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第一、确认</w:t>
      </w:r>
      <w:r>
        <w:rPr>
          <w:rFonts w:hint="eastAsia" w:asciiTheme="minorEastAsia" w:hAnsiTheme="minorEastAsia" w:eastAsiaTheme="minorEastAsia" w:cstheme="minorEastAsia"/>
          <w:sz w:val="28"/>
          <w:szCs w:val="28"/>
          <w:highlight w:val="none"/>
          <w:lang w:val="en-US" w:eastAsia="zh-CN"/>
        </w:rPr>
        <w:t>龙岩跨境电商生态圈</w:t>
      </w:r>
      <w:r>
        <w:rPr>
          <w:rFonts w:hint="eastAsia" w:asciiTheme="minorEastAsia" w:hAnsiTheme="minorEastAsia" w:eastAsiaTheme="minorEastAsia" w:cstheme="minorEastAsia"/>
          <w:sz w:val="28"/>
          <w:szCs w:val="28"/>
        </w:rPr>
        <w:t>建设项目评价的绩效目标；</w:t>
      </w:r>
    </w:p>
    <w:p w14:paraId="192CC685">
      <w:pPr>
        <w:spacing w:line="520" w:lineRule="exact"/>
        <w:ind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第二、整理绩效评价和</w:t>
      </w:r>
      <w:r>
        <w:rPr>
          <w:rFonts w:hint="eastAsia" w:asciiTheme="minorEastAsia" w:hAnsiTheme="minorEastAsia" w:eastAsiaTheme="minorEastAsia" w:cstheme="minorEastAsia"/>
          <w:sz w:val="28"/>
          <w:szCs w:val="28"/>
          <w:highlight w:val="none"/>
          <w:lang w:val="en-US" w:eastAsia="zh-CN"/>
        </w:rPr>
        <w:t>龙岩跨境电商生态圈</w:t>
      </w:r>
      <w:r>
        <w:rPr>
          <w:rFonts w:hint="eastAsia" w:asciiTheme="minorEastAsia" w:hAnsiTheme="minorEastAsia" w:eastAsiaTheme="minorEastAsia" w:cstheme="minorEastAsia"/>
          <w:sz w:val="28"/>
          <w:szCs w:val="28"/>
        </w:rPr>
        <w:t>建设相关文件，熟悉各文件相关规定；</w:t>
      </w:r>
    </w:p>
    <w:p w14:paraId="61E7C75C">
      <w:pPr>
        <w:spacing w:line="520" w:lineRule="exact"/>
        <w:ind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第三、分析确定</w:t>
      </w:r>
      <w:r>
        <w:rPr>
          <w:rFonts w:hint="eastAsia" w:asciiTheme="minorEastAsia" w:hAnsiTheme="minorEastAsia" w:eastAsiaTheme="minorEastAsia" w:cstheme="minorEastAsia"/>
          <w:sz w:val="28"/>
          <w:szCs w:val="28"/>
          <w:highlight w:val="none"/>
          <w:lang w:val="en-US" w:eastAsia="zh-CN"/>
        </w:rPr>
        <w:t>龙岩跨境电商生态圈</w:t>
      </w:r>
      <w:r>
        <w:rPr>
          <w:rFonts w:hint="eastAsia" w:asciiTheme="minorEastAsia" w:hAnsiTheme="minorEastAsia" w:eastAsiaTheme="minorEastAsia" w:cstheme="minorEastAsia"/>
          <w:sz w:val="28"/>
          <w:szCs w:val="28"/>
        </w:rPr>
        <w:t>建设项目评价的评价重点；</w:t>
      </w:r>
    </w:p>
    <w:p w14:paraId="4ACA32B8">
      <w:pPr>
        <w:spacing w:line="520" w:lineRule="exact"/>
        <w:ind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第四、根据已有指标体系，完善、明确相关指标要求和相关具体资料；</w:t>
      </w:r>
    </w:p>
    <w:p w14:paraId="3CF59D1B">
      <w:pPr>
        <w:spacing w:line="520" w:lineRule="exact"/>
        <w:ind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第五、对项目自报的评估报告进行分析并到项目地现场进行复核；</w:t>
      </w:r>
    </w:p>
    <w:p w14:paraId="0ECB4E3C">
      <w:pPr>
        <w:spacing w:line="520" w:lineRule="exact"/>
        <w:ind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第六、形成报告，并提出问题和建议。</w:t>
      </w:r>
    </w:p>
    <w:p w14:paraId="48F196D4">
      <w:pPr>
        <w:spacing w:line="520" w:lineRule="exact"/>
        <w:ind w:firstLine="663" w:firstLineChars="236"/>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（二）评价依据</w:t>
      </w:r>
    </w:p>
    <w:p w14:paraId="42877649">
      <w:pPr>
        <w:spacing w:line="520" w:lineRule="exact"/>
        <w:ind w:firstLine="663" w:firstLineChars="236"/>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1.绩效评价相关文件</w:t>
      </w:r>
    </w:p>
    <w:p w14:paraId="472444FA">
      <w:pPr>
        <w:spacing w:line="520" w:lineRule="exact"/>
        <w:ind w:firstLine="660" w:firstLineChars="236"/>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（1）《会计师事务所财政支出绩效评价业务指引》（会协〔2016〕10号）</w:t>
      </w:r>
    </w:p>
    <w:p w14:paraId="26C8FAD4">
      <w:pPr>
        <w:spacing w:line="520" w:lineRule="exact"/>
        <w:ind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highlight w:val="none"/>
          <w:lang w:val="en-US" w:eastAsia="zh-CN"/>
        </w:rPr>
        <w:t>财政部关于印发《</w:t>
      </w:r>
      <w:r>
        <w:rPr>
          <w:rFonts w:hint="eastAsia" w:asciiTheme="minorEastAsia" w:hAnsiTheme="minorEastAsia" w:eastAsiaTheme="minorEastAsia" w:cstheme="minorEastAsia"/>
          <w:sz w:val="28"/>
          <w:szCs w:val="28"/>
          <w:highlight w:val="none"/>
        </w:rPr>
        <w:t>项目支出绩效评价管理办法</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 xml:space="preserve"> 财预（2020）10号</w:t>
      </w:r>
    </w:p>
    <w:p w14:paraId="73C2FA94">
      <w:pPr>
        <w:spacing w:line="520" w:lineRule="exact"/>
        <w:ind w:firstLine="663" w:firstLineChars="236"/>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（三）评价方法</w:t>
      </w:r>
    </w:p>
    <w:p w14:paraId="42C6058D">
      <w:pPr>
        <w:spacing w:line="520" w:lineRule="exact"/>
        <w:ind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评价人员遵循“合理、公正、客观、规范”的原则，采用目标比较法、因素分析法、成本效益分析法、公众评判法对</w:t>
      </w:r>
      <w:r>
        <w:rPr>
          <w:rFonts w:hint="eastAsia" w:asciiTheme="minorEastAsia" w:hAnsiTheme="minorEastAsia" w:eastAsiaTheme="minorEastAsia" w:cstheme="minorEastAsia"/>
          <w:sz w:val="28"/>
          <w:szCs w:val="28"/>
          <w:lang w:eastAsia="zh-CN"/>
        </w:rPr>
        <w:t>龙岩跨境电商生态圈</w:t>
      </w:r>
      <w:r>
        <w:rPr>
          <w:rFonts w:hint="eastAsia" w:asciiTheme="minorEastAsia" w:hAnsiTheme="minorEastAsia" w:eastAsiaTheme="minorEastAsia" w:cstheme="minorEastAsia"/>
          <w:sz w:val="28"/>
          <w:szCs w:val="28"/>
        </w:rPr>
        <w:t>建设项目进行综合评价。</w:t>
      </w:r>
    </w:p>
    <w:p w14:paraId="6EB61DCB">
      <w:pPr>
        <w:spacing w:line="520" w:lineRule="exact"/>
        <w:ind w:firstLine="663" w:firstLineChars="236"/>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（四）评价程序</w:t>
      </w:r>
    </w:p>
    <w:p w14:paraId="3DF119D1">
      <w:pPr>
        <w:spacing w:line="520" w:lineRule="exact"/>
        <w:ind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1.分析项目自评报告；</w:t>
      </w:r>
    </w:p>
    <w:p w14:paraId="591EC943">
      <w:pPr>
        <w:spacing w:line="520" w:lineRule="exact"/>
        <w:ind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2.现场收集项目单位的财务制度、业务管理制度等资料，检查资金收付凭证、支出相关审批手续是否完整，以核实项目立项、项目管理等情况；</w:t>
      </w:r>
    </w:p>
    <w:p w14:paraId="33E4B788">
      <w:pPr>
        <w:spacing w:line="520" w:lineRule="exact"/>
        <w:ind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3.现场询问、检查项目实施单位工作人员相关财务制度、</w:t>
      </w:r>
      <w:r>
        <w:rPr>
          <w:rFonts w:hint="eastAsia" w:asciiTheme="minorEastAsia" w:hAnsiTheme="minorEastAsia" w:eastAsiaTheme="minorEastAsia" w:cstheme="minorEastAsia"/>
          <w:sz w:val="28"/>
          <w:szCs w:val="28"/>
          <w:lang w:val="en-US" w:eastAsia="zh-CN"/>
        </w:rPr>
        <w:t>项目</w:t>
      </w:r>
      <w:r>
        <w:rPr>
          <w:rFonts w:hint="eastAsia" w:asciiTheme="minorEastAsia" w:hAnsiTheme="minorEastAsia" w:eastAsiaTheme="minorEastAsia" w:cstheme="minorEastAsia"/>
          <w:sz w:val="28"/>
          <w:szCs w:val="28"/>
        </w:rPr>
        <w:t>管理等实施情况，以核实相关制度是否得到有效执行；</w:t>
      </w:r>
    </w:p>
    <w:p w14:paraId="3BD57692">
      <w:pPr>
        <w:spacing w:line="520" w:lineRule="exact"/>
        <w:ind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4.现场查看项目的目前建设情况，以核实项目的真实性，是否与资金使用情况相匹配；</w:t>
      </w:r>
    </w:p>
    <w:p w14:paraId="3A6AD8E2">
      <w:pPr>
        <w:spacing w:line="520" w:lineRule="exact"/>
        <w:ind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5.对项目</w:t>
      </w:r>
      <w:r>
        <w:rPr>
          <w:rFonts w:hint="eastAsia" w:asciiTheme="minorEastAsia" w:hAnsiTheme="minorEastAsia" w:eastAsiaTheme="minorEastAsia" w:cstheme="minorEastAsia"/>
          <w:sz w:val="28"/>
          <w:szCs w:val="28"/>
          <w:lang w:val="en-US" w:eastAsia="zh-CN"/>
        </w:rPr>
        <w:t>2021、2022年度验收材料进行核查</w:t>
      </w:r>
      <w:r>
        <w:rPr>
          <w:rFonts w:hint="eastAsia" w:asciiTheme="minorEastAsia" w:hAnsiTheme="minorEastAsia" w:eastAsiaTheme="minorEastAsia" w:cstheme="minorEastAsia"/>
          <w:sz w:val="28"/>
          <w:szCs w:val="28"/>
        </w:rPr>
        <w:t>；</w:t>
      </w:r>
    </w:p>
    <w:p w14:paraId="6F897DCF">
      <w:pPr>
        <w:spacing w:line="520" w:lineRule="exact"/>
        <w:ind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shd w:val="clear"/>
        </w:rPr>
        <w:t>对评价指标体系的“</w:t>
      </w:r>
      <w:r>
        <w:rPr>
          <w:rFonts w:hint="eastAsia" w:asciiTheme="minorEastAsia" w:hAnsiTheme="minorEastAsia" w:eastAsiaTheme="minorEastAsia" w:cstheme="minorEastAsia"/>
          <w:sz w:val="28"/>
          <w:szCs w:val="28"/>
          <w:highlight w:val="none"/>
          <w:shd w:val="clear"/>
          <w:lang w:val="en-US" w:eastAsia="zh-CN"/>
        </w:rPr>
        <w:t>投入、过程、产出、效益</w:t>
      </w:r>
      <w:r>
        <w:rPr>
          <w:rFonts w:hint="eastAsia" w:asciiTheme="minorEastAsia" w:hAnsiTheme="minorEastAsia" w:eastAsiaTheme="minorEastAsia" w:cstheme="minorEastAsia"/>
          <w:sz w:val="28"/>
          <w:szCs w:val="28"/>
          <w:highlight w:val="none"/>
          <w:shd w:val="clear"/>
        </w:rPr>
        <w:t>”</w:t>
      </w:r>
      <w:r>
        <w:rPr>
          <w:rFonts w:hint="eastAsia" w:asciiTheme="minorEastAsia" w:hAnsiTheme="minorEastAsia" w:eastAsiaTheme="minorEastAsia" w:cstheme="minorEastAsia"/>
          <w:sz w:val="28"/>
          <w:szCs w:val="28"/>
          <w:highlight w:val="none"/>
          <w:shd w:val="clear"/>
          <w:lang w:val="en-US" w:eastAsia="zh-CN"/>
        </w:rPr>
        <w:t>四</w:t>
      </w:r>
      <w:r>
        <w:rPr>
          <w:rFonts w:hint="eastAsia" w:asciiTheme="minorEastAsia" w:hAnsiTheme="minorEastAsia" w:eastAsiaTheme="minorEastAsia" w:cstheme="minorEastAsia"/>
          <w:sz w:val="28"/>
          <w:szCs w:val="28"/>
          <w:highlight w:val="none"/>
          <w:shd w:val="clear"/>
        </w:rPr>
        <w:t>大类</w:t>
      </w:r>
      <w:r>
        <w:rPr>
          <w:rFonts w:hint="eastAsia" w:asciiTheme="minorEastAsia" w:hAnsiTheme="minorEastAsia" w:eastAsiaTheme="minorEastAsia" w:cstheme="minorEastAsia"/>
          <w:sz w:val="28"/>
          <w:szCs w:val="28"/>
          <w:highlight w:val="none"/>
          <w:shd w:val="clear"/>
          <w:lang w:val="en-US" w:eastAsia="zh-CN"/>
        </w:rPr>
        <w:t>20</w:t>
      </w:r>
      <w:r>
        <w:rPr>
          <w:rFonts w:hint="eastAsia" w:asciiTheme="minorEastAsia" w:hAnsiTheme="minorEastAsia" w:eastAsiaTheme="minorEastAsia" w:cstheme="minorEastAsia"/>
          <w:sz w:val="28"/>
          <w:szCs w:val="28"/>
          <w:highlight w:val="none"/>
          <w:shd w:val="clear"/>
        </w:rPr>
        <w:t>项三级指标逐项进行分析和评分。</w:t>
      </w:r>
    </w:p>
    <w:p w14:paraId="7A3EE04F">
      <w:pPr>
        <w:spacing w:line="520" w:lineRule="exact"/>
        <w:ind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7、根据收集、整理的相关资料及评价结果编写绩效评价报告。</w:t>
      </w:r>
    </w:p>
    <w:p w14:paraId="50286250">
      <w:pPr>
        <w:spacing w:line="520" w:lineRule="exact"/>
        <w:ind w:firstLine="663" w:firstLineChars="236"/>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三、项目绩效评价结果及资金使用绩效分析</w:t>
      </w:r>
    </w:p>
    <w:p w14:paraId="29A75E95">
      <w:pPr>
        <w:spacing w:line="520" w:lineRule="exact"/>
        <w:ind w:firstLine="663" w:firstLineChars="236"/>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（一）项目资金绩效评价结果</w:t>
      </w:r>
    </w:p>
    <w:p w14:paraId="5B69FECB">
      <w:pPr>
        <w:spacing w:line="520" w:lineRule="exact"/>
        <w:ind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项目组经过调研取数、分析和评价，完成了实施单位</w:t>
      </w:r>
      <w:r>
        <w:rPr>
          <w:rFonts w:hint="eastAsia" w:asciiTheme="minorEastAsia" w:hAnsiTheme="minorEastAsia" w:eastAsiaTheme="minorEastAsia" w:cstheme="minorEastAsia"/>
          <w:sz w:val="28"/>
          <w:szCs w:val="28"/>
          <w:lang w:val="en-US" w:eastAsia="zh-CN"/>
        </w:rPr>
        <w:t>龙岩跨境电商生态圈</w:t>
      </w:r>
      <w:r>
        <w:rPr>
          <w:rFonts w:hint="eastAsia" w:asciiTheme="minorEastAsia" w:hAnsiTheme="minorEastAsia" w:eastAsiaTheme="minorEastAsia" w:cstheme="minorEastAsia"/>
          <w:sz w:val="28"/>
          <w:szCs w:val="28"/>
        </w:rPr>
        <w:t>建设项目资金绩效评价，结果如下：</w:t>
      </w:r>
    </w:p>
    <w:p w14:paraId="2E55354B">
      <w:pPr>
        <w:spacing w:line="520" w:lineRule="exact"/>
        <w:ind w:firstLine="660" w:firstLineChars="236"/>
        <w:rPr>
          <w:rFonts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1.“</w:t>
      </w:r>
      <w:r>
        <w:rPr>
          <w:rFonts w:hint="eastAsia" w:asciiTheme="minorEastAsia" w:hAnsiTheme="minorEastAsia" w:eastAsiaTheme="minorEastAsia" w:cstheme="minorEastAsia"/>
          <w:b w:val="0"/>
          <w:bCs w:val="0"/>
          <w:sz w:val="28"/>
          <w:szCs w:val="28"/>
          <w:lang w:val="en-US" w:eastAsia="zh-CN"/>
        </w:rPr>
        <w:t>投入</w:t>
      </w:r>
      <w:r>
        <w:rPr>
          <w:rFonts w:hint="eastAsia" w:asciiTheme="minorEastAsia" w:hAnsiTheme="minorEastAsia" w:eastAsiaTheme="minorEastAsia" w:cstheme="minorEastAsia"/>
          <w:b w:val="0"/>
          <w:bCs w:val="0"/>
          <w:sz w:val="28"/>
          <w:szCs w:val="28"/>
        </w:rPr>
        <w:t>”指标情况</w:t>
      </w:r>
    </w:p>
    <w:p w14:paraId="1AFE2B55">
      <w:pPr>
        <w:spacing w:line="520" w:lineRule="exact"/>
        <w:ind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该指标设置评价分数</w:t>
      </w:r>
      <w:r>
        <w:rPr>
          <w:rFonts w:hint="eastAsia" w:asciiTheme="minorEastAsia" w:hAnsiTheme="minorEastAsia" w:eastAsiaTheme="minorEastAsia" w:cstheme="minorEastAsia"/>
          <w:sz w:val="28"/>
          <w:szCs w:val="28"/>
          <w:lang w:val="en-US" w:eastAsia="zh-CN"/>
        </w:rPr>
        <w:t>25</w:t>
      </w:r>
      <w:r>
        <w:rPr>
          <w:rFonts w:hint="eastAsia" w:asciiTheme="minorEastAsia" w:hAnsiTheme="minorEastAsia" w:eastAsiaTheme="minorEastAsia" w:cstheme="minorEastAsia"/>
          <w:sz w:val="28"/>
          <w:szCs w:val="28"/>
        </w:rPr>
        <w:t>分，项目得分为</w:t>
      </w:r>
      <w:r>
        <w:rPr>
          <w:rFonts w:hint="eastAsia" w:asciiTheme="minorEastAsia" w:hAnsiTheme="minorEastAsia" w:eastAsiaTheme="minorEastAsia" w:cstheme="minorEastAsia"/>
          <w:sz w:val="28"/>
          <w:szCs w:val="28"/>
          <w:lang w:val="en-US" w:eastAsia="zh-CN"/>
        </w:rPr>
        <w:t>22</w:t>
      </w:r>
      <w:r>
        <w:rPr>
          <w:rFonts w:hint="eastAsia" w:asciiTheme="minorEastAsia" w:hAnsiTheme="minorEastAsia" w:eastAsiaTheme="minorEastAsia" w:cstheme="minorEastAsia"/>
          <w:sz w:val="28"/>
          <w:szCs w:val="28"/>
        </w:rPr>
        <w:t>分，得分率为</w:t>
      </w:r>
      <w:r>
        <w:rPr>
          <w:rFonts w:hint="eastAsia" w:asciiTheme="minorEastAsia" w:hAnsiTheme="minorEastAsia" w:eastAsiaTheme="minorEastAsia" w:cstheme="minorEastAsia"/>
          <w:sz w:val="28"/>
          <w:szCs w:val="28"/>
          <w:lang w:val="en-US" w:eastAsia="zh-CN"/>
        </w:rPr>
        <w:t>88</w:t>
      </w:r>
      <w:r>
        <w:rPr>
          <w:rFonts w:hint="eastAsia" w:asciiTheme="minorEastAsia" w:hAnsiTheme="minorEastAsia" w:eastAsiaTheme="minorEastAsia" w:cstheme="minorEastAsia"/>
          <w:sz w:val="28"/>
          <w:szCs w:val="28"/>
        </w:rPr>
        <w:t>%，其中项目在“</w:t>
      </w:r>
      <w:r>
        <w:rPr>
          <w:rFonts w:hint="eastAsia" w:asciiTheme="minorEastAsia" w:hAnsiTheme="minorEastAsia" w:eastAsiaTheme="minorEastAsia" w:cstheme="minorEastAsia"/>
          <w:sz w:val="28"/>
          <w:szCs w:val="28"/>
          <w:lang w:val="en-US" w:eastAsia="zh-CN"/>
        </w:rPr>
        <w:t>项目立项</w:t>
      </w:r>
      <w:r>
        <w:rPr>
          <w:rFonts w:hint="eastAsia" w:asciiTheme="minorEastAsia" w:hAnsiTheme="minorEastAsia" w:eastAsiaTheme="minorEastAsia" w:cstheme="minorEastAsia"/>
          <w:sz w:val="28"/>
          <w:szCs w:val="28"/>
        </w:rPr>
        <w:t>”情况中的“</w:t>
      </w:r>
      <w:r>
        <w:rPr>
          <w:rFonts w:hint="eastAsia" w:asciiTheme="minorEastAsia" w:hAnsiTheme="minorEastAsia" w:eastAsiaTheme="minorEastAsia" w:cstheme="minorEastAsia"/>
          <w:sz w:val="28"/>
          <w:szCs w:val="28"/>
          <w:lang w:val="en-US" w:eastAsia="zh-CN"/>
        </w:rPr>
        <w:t>绩效目标合理性</w:t>
      </w:r>
      <w:r>
        <w:rPr>
          <w:rFonts w:hint="eastAsia" w:asciiTheme="minorEastAsia" w:hAnsiTheme="minorEastAsia" w:eastAsiaTheme="minorEastAsia" w:cstheme="minorEastAsia"/>
          <w:sz w:val="28"/>
          <w:szCs w:val="28"/>
        </w:rPr>
        <w:t>”，在“</w:t>
      </w:r>
      <w:r>
        <w:rPr>
          <w:rFonts w:hint="eastAsia" w:asciiTheme="minorEastAsia" w:hAnsiTheme="minorEastAsia" w:eastAsiaTheme="minorEastAsia" w:cstheme="minorEastAsia"/>
          <w:sz w:val="28"/>
          <w:szCs w:val="28"/>
          <w:lang w:val="en-US" w:eastAsia="zh-CN"/>
        </w:rPr>
        <w:t>资金落实</w:t>
      </w:r>
      <w:r>
        <w:rPr>
          <w:rFonts w:hint="eastAsia" w:asciiTheme="minorEastAsia" w:hAnsiTheme="minorEastAsia" w:eastAsiaTheme="minorEastAsia" w:cstheme="minorEastAsia"/>
          <w:sz w:val="28"/>
          <w:szCs w:val="28"/>
        </w:rPr>
        <w:t>”情况中的“</w:t>
      </w:r>
      <w:r>
        <w:rPr>
          <w:rFonts w:hint="eastAsia" w:asciiTheme="minorEastAsia" w:hAnsiTheme="minorEastAsia" w:eastAsiaTheme="minorEastAsia" w:cstheme="minorEastAsia"/>
          <w:sz w:val="28"/>
          <w:szCs w:val="28"/>
          <w:lang w:val="en-US" w:eastAsia="zh-CN"/>
        </w:rPr>
        <w:t>资金到位率</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及</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到位及时率</w:t>
      </w:r>
      <w:r>
        <w:rPr>
          <w:rFonts w:hint="eastAsia" w:asciiTheme="minorEastAsia" w:hAnsiTheme="minorEastAsia" w:eastAsiaTheme="minorEastAsia" w:cstheme="minorEastAsia"/>
          <w:sz w:val="28"/>
          <w:szCs w:val="28"/>
        </w:rPr>
        <w:t>”指标得分较高；在“</w:t>
      </w:r>
      <w:r>
        <w:rPr>
          <w:rFonts w:hint="eastAsia" w:asciiTheme="minorEastAsia" w:hAnsiTheme="minorEastAsia" w:eastAsiaTheme="minorEastAsia" w:cstheme="minorEastAsia"/>
          <w:sz w:val="28"/>
          <w:szCs w:val="28"/>
          <w:lang w:val="en-US" w:eastAsia="zh-CN"/>
        </w:rPr>
        <w:t>项目立项</w:t>
      </w:r>
      <w:r>
        <w:rPr>
          <w:rFonts w:hint="eastAsia" w:asciiTheme="minorEastAsia" w:hAnsiTheme="minorEastAsia" w:eastAsiaTheme="minorEastAsia" w:cstheme="minorEastAsia"/>
          <w:sz w:val="28"/>
          <w:szCs w:val="28"/>
        </w:rPr>
        <w:t>”情况中的“</w:t>
      </w:r>
      <w:r>
        <w:rPr>
          <w:rFonts w:hint="eastAsia" w:asciiTheme="minorEastAsia" w:hAnsiTheme="minorEastAsia" w:eastAsiaTheme="minorEastAsia" w:cstheme="minorEastAsia"/>
          <w:sz w:val="28"/>
          <w:szCs w:val="28"/>
          <w:lang w:val="en-US" w:eastAsia="zh-CN"/>
        </w:rPr>
        <w:t>项目立项规范性</w:t>
      </w:r>
      <w:r>
        <w:rPr>
          <w:rFonts w:hint="eastAsia" w:asciiTheme="minorEastAsia" w:hAnsiTheme="minorEastAsia" w:eastAsiaTheme="minorEastAsia" w:cstheme="minorEastAsia"/>
          <w:sz w:val="28"/>
          <w:szCs w:val="28"/>
        </w:rPr>
        <w:t>”指标</w:t>
      </w:r>
      <w:r>
        <w:rPr>
          <w:rFonts w:hint="eastAsia" w:asciiTheme="minorEastAsia" w:hAnsiTheme="minorEastAsia" w:eastAsiaTheme="minorEastAsia" w:cstheme="minorEastAsia"/>
          <w:sz w:val="28"/>
          <w:szCs w:val="28"/>
          <w:lang w:val="en-US" w:eastAsia="zh-CN"/>
        </w:rPr>
        <w:t>由于</w:t>
      </w:r>
      <w:r>
        <w:rPr>
          <w:rFonts w:hint="eastAsia" w:asciiTheme="minorEastAsia" w:hAnsiTheme="minorEastAsia" w:eastAsiaTheme="minorEastAsia" w:cstheme="minorEastAsia"/>
          <w:sz w:val="28"/>
          <w:szCs w:val="28"/>
        </w:rPr>
        <w:t>项目实施单位未严格执行</w:t>
      </w:r>
      <w:r>
        <w:rPr>
          <w:rFonts w:hint="eastAsia" w:asciiTheme="minorEastAsia" w:hAnsiTheme="minorEastAsia" w:eastAsiaTheme="minorEastAsia" w:cstheme="minorEastAsia"/>
          <w:sz w:val="28"/>
          <w:szCs w:val="28"/>
          <w:lang w:val="en-US" w:eastAsia="zh-CN"/>
        </w:rPr>
        <w:t>项目事前可行性研究、专家论证</w:t>
      </w:r>
      <w:r>
        <w:rPr>
          <w:rFonts w:hint="eastAsia" w:asciiTheme="minorEastAsia" w:hAnsiTheme="minorEastAsia" w:eastAsiaTheme="minorEastAsia" w:cstheme="minorEastAsia"/>
          <w:sz w:val="28"/>
          <w:szCs w:val="28"/>
        </w:rPr>
        <w:t>，导致项目在此指标上得分</w:t>
      </w:r>
      <w:r>
        <w:rPr>
          <w:rFonts w:hint="eastAsia" w:asciiTheme="minorEastAsia" w:hAnsiTheme="minorEastAsia" w:eastAsiaTheme="minorEastAsia" w:cstheme="minorEastAsia"/>
          <w:sz w:val="28"/>
          <w:szCs w:val="28"/>
          <w:lang w:val="en-US" w:eastAsia="zh-CN"/>
        </w:rPr>
        <w:t>较低</w:t>
      </w:r>
      <w:r>
        <w:rPr>
          <w:rFonts w:hint="eastAsia" w:asciiTheme="minorEastAsia" w:hAnsiTheme="minorEastAsia" w:eastAsiaTheme="minorEastAsia" w:cstheme="minorEastAsia"/>
          <w:sz w:val="28"/>
          <w:szCs w:val="28"/>
        </w:rPr>
        <w:t>。</w:t>
      </w:r>
    </w:p>
    <w:p w14:paraId="38D50A52">
      <w:pPr>
        <w:spacing w:line="520" w:lineRule="exact"/>
        <w:ind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lang w:val="en-US" w:eastAsia="zh-CN"/>
        </w:rPr>
        <w:t>过程</w:t>
      </w:r>
      <w:r>
        <w:rPr>
          <w:rFonts w:hint="eastAsia" w:asciiTheme="minorEastAsia" w:hAnsiTheme="minorEastAsia" w:eastAsiaTheme="minorEastAsia" w:cstheme="minorEastAsia"/>
          <w:sz w:val="28"/>
          <w:szCs w:val="28"/>
        </w:rPr>
        <w:t>”指标情况</w:t>
      </w:r>
    </w:p>
    <w:p w14:paraId="23203F60">
      <w:pPr>
        <w:spacing w:line="520" w:lineRule="exact"/>
        <w:ind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该指标设置评价分数</w:t>
      </w:r>
      <w:r>
        <w:rPr>
          <w:rFonts w:hint="eastAsia" w:asciiTheme="minorEastAsia" w:hAnsiTheme="minorEastAsia" w:eastAsiaTheme="minorEastAsia" w:cstheme="minorEastAsia"/>
          <w:sz w:val="28"/>
          <w:szCs w:val="28"/>
          <w:lang w:val="en-US" w:eastAsia="zh-CN"/>
        </w:rPr>
        <w:t>30</w:t>
      </w:r>
      <w:r>
        <w:rPr>
          <w:rFonts w:hint="eastAsia" w:asciiTheme="minorEastAsia" w:hAnsiTheme="minorEastAsia" w:eastAsiaTheme="minorEastAsia" w:cstheme="minorEastAsia"/>
          <w:sz w:val="28"/>
          <w:szCs w:val="28"/>
        </w:rPr>
        <w:t>分，项目得分为</w:t>
      </w:r>
      <w:r>
        <w:rPr>
          <w:rFonts w:hint="eastAsia" w:asciiTheme="minorEastAsia" w:hAnsiTheme="minorEastAsia" w:eastAsiaTheme="minorEastAsia" w:cstheme="minorEastAsia"/>
          <w:sz w:val="28"/>
          <w:szCs w:val="28"/>
          <w:lang w:val="en-US" w:eastAsia="zh-CN"/>
        </w:rPr>
        <w:t>20</w:t>
      </w:r>
      <w:r>
        <w:rPr>
          <w:rFonts w:hint="eastAsia" w:asciiTheme="minorEastAsia" w:hAnsiTheme="minorEastAsia" w:eastAsiaTheme="minorEastAsia" w:cstheme="minorEastAsia"/>
          <w:sz w:val="28"/>
          <w:szCs w:val="28"/>
        </w:rPr>
        <w:t>分，得分率为</w:t>
      </w:r>
      <w:r>
        <w:rPr>
          <w:rFonts w:hint="eastAsia" w:asciiTheme="minorEastAsia" w:hAnsiTheme="minorEastAsia" w:eastAsiaTheme="minorEastAsia" w:cstheme="minorEastAsia"/>
          <w:sz w:val="28"/>
          <w:szCs w:val="28"/>
          <w:lang w:val="en-US" w:eastAsia="zh-CN"/>
        </w:rPr>
        <w:t>66.67</w:t>
      </w:r>
      <w:r>
        <w:rPr>
          <w:rFonts w:hint="eastAsia" w:asciiTheme="minorEastAsia" w:hAnsiTheme="minorEastAsia" w:eastAsiaTheme="minorEastAsia" w:cstheme="minorEastAsia"/>
          <w:sz w:val="28"/>
          <w:szCs w:val="28"/>
        </w:rPr>
        <w:t>%；其中项目在“</w:t>
      </w:r>
      <w:r>
        <w:rPr>
          <w:rFonts w:hint="eastAsia" w:asciiTheme="minorEastAsia" w:hAnsiTheme="minorEastAsia" w:eastAsiaTheme="minorEastAsia" w:cstheme="minorEastAsia"/>
          <w:sz w:val="28"/>
          <w:szCs w:val="28"/>
          <w:lang w:val="en-US" w:eastAsia="zh-CN"/>
        </w:rPr>
        <w:t>财务管理</w:t>
      </w:r>
      <w:r>
        <w:rPr>
          <w:rFonts w:hint="eastAsia" w:asciiTheme="minorEastAsia" w:hAnsiTheme="minorEastAsia" w:eastAsiaTheme="minorEastAsia" w:cstheme="minorEastAsia"/>
          <w:sz w:val="28"/>
          <w:szCs w:val="28"/>
        </w:rPr>
        <w:t>”情况中的“</w:t>
      </w:r>
      <w:r>
        <w:rPr>
          <w:rFonts w:hint="eastAsia" w:asciiTheme="minorEastAsia" w:hAnsiTheme="minorEastAsia" w:eastAsiaTheme="minorEastAsia" w:cstheme="minorEastAsia"/>
          <w:sz w:val="28"/>
          <w:szCs w:val="28"/>
          <w:lang w:val="en-US" w:eastAsia="zh-CN"/>
        </w:rPr>
        <w:t>资金使用合规性</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财务监控有效性</w:t>
      </w:r>
      <w:r>
        <w:rPr>
          <w:rFonts w:hint="eastAsia" w:asciiTheme="minorEastAsia" w:hAnsiTheme="minorEastAsia" w:eastAsiaTheme="minorEastAsia" w:cstheme="minorEastAsia"/>
          <w:sz w:val="28"/>
          <w:szCs w:val="28"/>
        </w:rPr>
        <w:t>”等各项指标得分较高；</w:t>
      </w:r>
      <w:r>
        <w:rPr>
          <w:rFonts w:hint="eastAsia" w:asciiTheme="minorEastAsia" w:hAnsiTheme="minorEastAsia" w:eastAsiaTheme="minorEastAsia" w:cstheme="minorEastAsia"/>
          <w:sz w:val="28"/>
          <w:szCs w:val="28"/>
          <w:lang w:val="en-US" w:eastAsia="zh-CN"/>
        </w:rPr>
        <w:t>在</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业务管理</w:t>
      </w:r>
      <w:r>
        <w:rPr>
          <w:rFonts w:hint="eastAsia" w:asciiTheme="minorEastAsia" w:hAnsiTheme="minorEastAsia" w:eastAsiaTheme="minorEastAsia" w:cstheme="minorEastAsia"/>
          <w:sz w:val="28"/>
          <w:szCs w:val="28"/>
        </w:rPr>
        <w:t>” 情况中的“</w:t>
      </w:r>
      <w:r>
        <w:rPr>
          <w:rFonts w:hint="eastAsia" w:asciiTheme="minorEastAsia" w:hAnsiTheme="minorEastAsia" w:eastAsiaTheme="minorEastAsia" w:cstheme="minorEastAsia"/>
          <w:sz w:val="28"/>
          <w:szCs w:val="28"/>
          <w:lang w:val="en-US" w:eastAsia="zh-CN"/>
        </w:rPr>
        <w:t>管理制度健全性</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制度执行有效性</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项目质量可控性</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指标因项目实施单位</w:t>
      </w:r>
      <w:r>
        <w:rPr>
          <w:rFonts w:hint="eastAsia" w:asciiTheme="minorEastAsia" w:hAnsiTheme="minorEastAsia" w:eastAsiaTheme="minorEastAsia" w:cstheme="minorEastAsia"/>
          <w:sz w:val="28"/>
          <w:szCs w:val="28"/>
          <w:lang w:val="en-US" w:eastAsia="zh-CN"/>
        </w:rPr>
        <w:t>管理</w:t>
      </w:r>
      <w:r>
        <w:rPr>
          <w:rFonts w:hint="eastAsia" w:asciiTheme="minorEastAsia" w:hAnsiTheme="minorEastAsia" w:eastAsiaTheme="minorEastAsia" w:cstheme="minorEastAsia"/>
          <w:sz w:val="28"/>
          <w:szCs w:val="28"/>
        </w:rPr>
        <w:t>不够深入得分亦较低。</w:t>
      </w:r>
    </w:p>
    <w:p w14:paraId="7779C6E5">
      <w:pPr>
        <w:numPr>
          <w:ilvl w:val="0"/>
          <w:numId w:val="0"/>
        </w:numPr>
        <w:spacing w:line="520" w:lineRule="exact"/>
        <w:ind w:firstLine="660" w:firstLineChars="236"/>
        <w:rPr>
          <w:rFonts w:asciiTheme="minorEastAsia" w:hAnsiTheme="minorEastAsia" w:eastAsiaTheme="minorEastAsia" w:cstheme="minorEastAsia"/>
          <w:sz w:val="28"/>
          <w:szCs w:val="28"/>
        </w:rPr>
      </w:pPr>
      <w:r>
        <w:rPr>
          <w:rFonts w:asciiTheme="minorEastAsia" w:hAnsiTheme="minorEastAsia" w:eastAsiaTheme="minorEastAsia" w:cstheme="minorEastAsia"/>
          <w:kern w:val="2"/>
          <w:sz w:val="28"/>
          <w:szCs w:val="28"/>
          <w:lang w:val="en-US" w:eastAsia="zh-CN" w:bidi="ar-SA"/>
        </w:rPr>
        <w:t>3.</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产出</w:t>
      </w:r>
      <w:r>
        <w:rPr>
          <w:rFonts w:hint="eastAsia" w:asciiTheme="minorEastAsia" w:hAnsiTheme="minorEastAsia" w:eastAsiaTheme="minorEastAsia" w:cstheme="minorEastAsia"/>
          <w:sz w:val="28"/>
          <w:szCs w:val="28"/>
        </w:rPr>
        <w:t>”指标情况</w:t>
      </w:r>
    </w:p>
    <w:p w14:paraId="204536AF">
      <w:pPr>
        <w:widowControl/>
        <w:shd w:val="clear" w:color="auto"/>
        <w:wordWrap w:val="0"/>
        <w:spacing w:line="520" w:lineRule="exact"/>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该指标设置评价分数20分，项目得分为</w:t>
      </w:r>
      <w:r>
        <w:rPr>
          <w:rFonts w:hint="eastAsia" w:asciiTheme="minorEastAsia" w:hAnsiTheme="minorEastAsia" w:eastAsiaTheme="minorEastAsia" w:cstheme="minorEastAsia"/>
          <w:sz w:val="28"/>
          <w:szCs w:val="28"/>
          <w:lang w:val="en-US" w:eastAsia="zh-CN"/>
        </w:rPr>
        <w:t>18</w:t>
      </w:r>
      <w:r>
        <w:rPr>
          <w:rFonts w:hint="eastAsia" w:asciiTheme="minorEastAsia" w:hAnsiTheme="minorEastAsia" w:eastAsiaTheme="minorEastAsia" w:cstheme="minorEastAsia"/>
          <w:sz w:val="28"/>
          <w:szCs w:val="28"/>
        </w:rPr>
        <w:t>分，得分率为</w:t>
      </w:r>
      <w:r>
        <w:rPr>
          <w:rFonts w:hint="eastAsia" w:asciiTheme="minorEastAsia" w:hAnsiTheme="minorEastAsia" w:eastAsiaTheme="minorEastAsia" w:cstheme="minorEastAsia"/>
          <w:sz w:val="28"/>
          <w:szCs w:val="28"/>
          <w:lang w:val="en-US" w:eastAsia="zh-CN"/>
        </w:rPr>
        <w:t>90</w:t>
      </w:r>
      <w:r>
        <w:rPr>
          <w:rFonts w:hint="eastAsia" w:asciiTheme="minorEastAsia" w:hAnsiTheme="minorEastAsia" w:eastAsiaTheme="minorEastAsia" w:cstheme="minorEastAsia"/>
          <w:sz w:val="28"/>
          <w:szCs w:val="28"/>
        </w:rPr>
        <w:t>%；</w:t>
      </w:r>
    </w:p>
    <w:p w14:paraId="48BEDD01">
      <w:pPr>
        <w:widowControl/>
        <w:shd w:val="clear" w:color="auto"/>
        <w:wordWrap w:val="0"/>
        <w:spacing w:line="520" w:lineRule="exact"/>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其中项目在“</w:t>
      </w:r>
      <w:r>
        <w:rPr>
          <w:rFonts w:hint="eastAsia" w:asciiTheme="minorEastAsia" w:hAnsiTheme="minorEastAsia" w:eastAsiaTheme="minorEastAsia" w:cstheme="minorEastAsia"/>
          <w:sz w:val="28"/>
          <w:szCs w:val="28"/>
          <w:lang w:val="en-US" w:eastAsia="zh-CN"/>
        </w:rPr>
        <w:t>项目产出</w:t>
      </w:r>
      <w:r>
        <w:rPr>
          <w:rFonts w:hint="eastAsia" w:asciiTheme="minorEastAsia" w:hAnsiTheme="minorEastAsia" w:eastAsiaTheme="minorEastAsia" w:cstheme="minorEastAsia"/>
          <w:sz w:val="28"/>
          <w:szCs w:val="28"/>
        </w:rPr>
        <w:t>”情况中的“</w:t>
      </w:r>
      <w:r>
        <w:rPr>
          <w:rFonts w:hint="eastAsia" w:asciiTheme="minorEastAsia" w:hAnsiTheme="minorEastAsia" w:eastAsiaTheme="minorEastAsia" w:cstheme="minorEastAsia"/>
          <w:sz w:val="28"/>
          <w:szCs w:val="28"/>
          <w:lang w:val="en-US" w:eastAsia="zh-CN"/>
        </w:rPr>
        <w:t>实际完成率</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完成及时率</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指标得分较高；</w:t>
      </w:r>
      <w:r>
        <w:rPr>
          <w:rFonts w:hint="eastAsia" w:asciiTheme="minorEastAsia" w:hAnsiTheme="minorEastAsia" w:eastAsiaTheme="minorEastAsia" w:cstheme="minorEastAsia"/>
          <w:sz w:val="28"/>
          <w:szCs w:val="28"/>
          <w:lang w:val="en-US" w:eastAsia="zh-CN"/>
        </w:rPr>
        <w:t>在</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项目产出</w:t>
      </w:r>
      <w:r>
        <w:rPr>
          <w:rFonts w:hint="eastAsia" w:asciiTheme="minorEastAsia" w:hAnsiTheme="minorEastAsia" w:eastAsiaTheme="minorEastAsia" w:cstheme="minorEastAsia"/>
          <w:sz w:val="28"/>
          <w:szCs w:val="28"/>
        </w:rPr>
        <w:t>” 情况中的“</w:t>
      </w:r>
      <w:r>
        <w:rPr>
          <w:rFonts w:hint="eastAsia" w:asciiTheme="minorEastAsia" w:hAnsiTheme="minorEastAsia" w:eastAsiaTheme="minorEastAsia" w:cstheme="minorEastAsia"/>
          <w:sz w:val="28"/>
          <w:szCs w:val="28"/>
          <w:lang w:val="en-US" w:eastAsia="zh-CN"/>
        </w:rPr>
        <w:t>质量达标率</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成本节约率</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指标因项目</w:t>
      </w:r>
      <w:r>
        <w:rPr>
          <w:rFonts w:hint="eastAsia" w:asciiTheme="minorEastAsia" w:hAnsiTheme="minorEastAsia" w:eastAsiaTheme="minorEastAsia" w:cstheme="minorEastAsia"/>
          <w:sz w:val="28"/>
          <w:szCs w:val="28"/>
          <w:lang w:val="en-US" w:eastAsia="zh-CN"/>
        </w:rPr>
        <w:t>管理</w:t>
      </w:r>
      <w:r>
        <w:rPr>
          <w:rFonts w:hint="eastAsia" w:asciiTheme="minorEastAsia" w:hAnsiTheme="minorEastAsia" w:eastAsiaTheme="minorEastAsia" w:cstheme="minorEastAsia"/>
          <w:sz w:val="28"/>
          <w:szCs w:val="28"/>
        </w:rPr>
        <w:t>单位</w:t>
      </w:r>
      <w:r>
        <w:rPr>
          <w:rFonts w:hint="eastAsia" w:asciiTheme="minorEastAsia" w:hAnsiTheme="minorEastAsia" w:eastAsiaTheme="minorEastAsia" w:cstheme="minorEastAsia"/>
          <w:sz w:val="28"/>
          <w:szCs w:val="28"/>
          <w:lang w:val="en-US" w:eastAsia="zh-CN"/>
        </w:rPr>
        <w:t>对园区企业进出机制管理</w:t>
      </w:r>
      <w:r>
        <w:rPr>
          <w:rFonts w:hint="eastAsia" w:asciiTheme="minorEastAsia" w:hAnsiTheme="minorEastAsia" w:eastAsiaTheme="minorEastAsia" w:cstheme="minorEastAsia"/>
          <w:sz w:val="28"/>
          <w:szCs w:val="28"/>
        </w:rPr>
        <w:t>不</w:t>
      </w:r>
      <w:r>
        <w:rPr>
          <w:rFonts w:hint="eastAsia" w:asciiTheme="minorEastAsia" w:hAnsiTheme="minorEastAsia" w:eastAsiaTheme="minorEastAsia" w:cstheme="minorEastAsia"/>
          <w:sz w:val="28"/>
          <w:szCs w:val="28"/>
          <w:lang w:val="en-US" w:eastAsia="zh-CN"/>
        </w:rPr>
        <w:t>规范</w:t>
      </w:r>
      <w:r>
        <w:rPr>
          <w:rFonts w:hint="eastAsia" w:asciiTheme="minorEastAsia" w:hAnsiTheme="minorEastAsia" w:eastAsiaTheme="minorEastAsia" w:cstheme="minorEastAsia"/>
          <w:sz w:val="28"/>
          <w:szCs w:val="28"/>
        </w:rPr>
        <w:t>得分亦较低。</w:t>
      </w:r>
    </w:p>
    <w:p w14:paraId="7F9CC981">
      <w:pPr>
        <w:spacing w:line="520" w:lineRule="exact"/>
        <w:ind w:firstLine="560" w:firstLineChars="200"/>
        <w:rPr>
          <w:rFonts w:hint="default" w:asciiTheme="minorEastAsia" w:hAnsiTheme="minorEastAsia" w:eastAsiaTheme="minorEastAsia" w:cstheme="minorEastAsia"/>
          <w:bCs/>
          <w:sz w:val="28"/>
          <w:szCs w:val="28"/>
          <w:lang w:val="en-US" w:eastAsia="zh-CN"/>
        </w:rPr>
      </w:pPr>
      <w:r>
        <w:rPr>
          <w:rFonts w:hint="eastAsia" w:asciiTheme="minorEastAsia" w:hAnsiTheme="minorEastAsia" w:eastAsiaTheme="minorEastAsia" w:cstheme="minorEastAsia"/>
          <w:bCs/>
          <w:sz w:val="28"/>
          <w:szCs w:val="28"/>
          <w:lang w:val="en-US" w:eastAsia="zh-CN"/>
        </w:rPr>
        <w:t>4.“效果”指标情况</w:t>
      </w:r>
    </w:p>
    <w:p w14:paraId="125E0ED8">
      <w:pPr>
        <w:widowControl/>
        <w:shd w:val="clear" w:color="auto"/>
        <w:wordWrap w:val="0"/>
        <w:spacing w:line="520" w:lineRule="exact"/>
        <w:ind w:firstLine="560" w:firstLineChars="200"/>
        <w:jc w:val="left"/>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highlight w:val="none"/>
        </w:rPr>
        <w:t>该指标设置评价分数2</w:t>
      </w: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分，各项目平均得分为</w:t>
      </w:r>
      <w:r>
        <w:rPr>
          <w:rFonts w:hint="eastAsia" w:asciiTheme="minorEastAsia" w:hAnsiTheme="minorEastAsia" w:eastAsiaTheme="minorEastAsia" w:cstheme="minorEastAsia"/>
          <w:sz w:val="28"/>
          <w:szCs w:val="28"/>
          <w:highlight w:val="none"/>
          <w:lang w:val="en-US" w:eastAsia="zh-CN"/>
        </w:rPr>
        <w:t>15</w:t>
      </w:r>
      <w:r>
        <w:rPr>
          <w:rFonts w:hint="eastAsia" w:asciiTheme="minorEastAsia" w:hAnsiTheme="minorEastAsia" w:eastAsiaTheme="minorEastAsia" w:cstheme="minorEastAsia"/>
          <w:sz w:val="28"/>
          <w:szCs w:val="28"/>
          <w:highlight w:val="none"/>
        </w:rPr>
        <w:t>分，得分率为</w:t>
      </w:r>
      <w:r>
        <w:rPr>
          <w:rFonts w:hint="eastAsia" w:asciiTheme="minorEastAsia" w:hAnsiTheme="minorEastAsia" w:eastAsiaTheme="minorEastAsia" w:cstheme="minorEastAsia"/>
          <w:sz w:val="28"/>
          <w:szCs w:val="28"/>
          <w:highlight w:val="none"/>
          <w:lang w:val="en-US" w:eastAsia="zh-CN"/>
        </w:rPr>
        <w:t>60</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val="en-US" w:eastAsia="zh-CN"/>
        </w:rPr>
        <w:t>跨境电商生态圈</w:t>
      </w:r>
      <w:r>
        <w:rPr>
          <w:rFonts w:hint="eastAsia" w:asciiTheme="minorEastAsia" w:hAnsiTheme="minorEastAsia" w:eastAsiaTheme="minorEastAsia" w:cstheme="minorEastAsia"/>
          <w:sz w:val="28"/>
          <w:szCs w:val="28"/>
        </w:rPr>
        <w:t>项目</w:t>
      </w:r>
      <w:r>
        <w:rPr>
          <w:rFonts w:hint="eastAsia" w:asciiTheme="minorEastAsia" w:hAnsiTheme="minorEastAsia" w:eastAsiaTheme="minorEastAsia" w:cstheme="minorEastAsia"/>
          <w:sz w:val="28"/>
          <w:szCs w:val="28"/>
          <w:lang w:val="en-US" w:eastAsia="zh-CN"/>
        </w:rPr>
        <w:t>于2023年9月与运营方龙竞园区管理服务有限公司解除合作协议，由于</w:t>
      </w:r>
      <w:r>
        <w:rPr>
          <w:rFonts w:hint="eastAsia" w:asciiTheme="minorEastAsia" w:hAnsiTheme="minorEastAsia" w:eastAsiaTheme="minorEastAsia" w:cstheme="minorEastAsia"/>
          <w:sz w:val="28"/>
          <w:szCs w:val="28"/>
          <w:highlight w:val="none"/>
          <w:lang w:val="en-US" w:eastAsia="zh-CN"/>
        </w:rPr>
        <w:t>在跨境电商专业培训、完成外贸出口指标等方面缺乏专业运营团队</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val="en-US" w:eastAsia="zh-CN"/>
        </w:rPr>
        <w:t>委托福建城瑞物业管理有限公司服务于入驻企业，委托其代收入驻企业水电费及物业费。因此，在</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val="en-US" w:eastAsia="zh-CN"/>
        </w:rPr>
        <w:t>经济效益</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社会效益</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生态效益</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公众满意度</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等</w:t>
      </w:r>
      <w:r>
        <w:rPr>
          <w:rFonts w:hint="eastAsia" w:asciiTheme="minorEastAsia" w:hAnsiTheme="minorEastAsia" w:eastAsiaTheme="minorEastAsia" w:cstheme="minorEastAsia"/>
          <w:sz w:val="28"/>
          <w:szCs w:val="28"/>
          <w:highlight w:val="none"/>
        </w:rPr>
        <w:t>指标得分较</w:t>
      </w:r>
      <w:r>
        <w:rPr>
          <w:rFonts w:hint="eastAsia" w:asciiTheme="minorEastAsia" w:hAnsiTheme="minorEastAsia" w:eastAsiaTheme="minorEastAsia" w:cstheme="minorEastAsia"/>
          <w:sz w:val="28"/>
          <w:szCs w:val="28"/>
          <w:highlight w:val="none"/>
          <w:lang w:val="en-US" w:eastAsia="zh-CN"/>
        </w:rPr>
        <w:t>低。</w:t>
      </w:r>
    </w:p>
    <w:p w14:paraId="6B00CF9C">
      <w:pPr>
        <w:spacing w:line="520" w:lineRule="exact"/>
        <w:ind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综上，整体绩效评价综合得分为</w:t>
      </w:r>
      <w:r>
        <w:rPr>
          <w:rFonts w:hint="eastAsia" w:asciiTheme="minorEastAsia" w:hAnsiTheme="minorEastAsia" w:eastAsiaTheme="minorEastAsia" w:cstheme="minorEastAsia"/>
          <w:sz w:val="28"/>
          <w:szCs w:val="28"/>
          <w:lang w:val="en-US" w:eastAsia="zh-CN"/>
        </w:rPr>
        <w:t>75</w:t>
      </w:r>
      <w:r>
        <w:rPr>
          <w:rFonts w:hint="eastAsia" w:asciiTheme="minorEastAsia" w:hAnsiTheme="minorEastAsia" w:eastAsiaTheme="minorEastAsia" w:cstheme="minorEastAsia"/>
          <w:sz w:val="28"/>
          <w:szCs w:val="28"/>
        </w:rPr>
        <w:t>分，评价等级为“</w:t>
      </w:r>
      <w:r>
        <w:rPr>
          <w:rFonts w:hint="eastAsia" w:asciiTheme="minorEastAsia" w:hAnsiTheme="minorEastAsia" w:eastAsiaTheme="minorEastAsia" w:cstheme="minorEastAsia"/>
          <w:sz w:val="28"/>
          <w:szCs w:val="28"/>
          <w:lang w:val="en-US" w:eastAsia="zh-CN"/>
        </w:rPr>
        <w:t>良好</w:t>
      </w:r>
      <w:r>
        <w:rPr>
          <w:rFonts w:hint="eastAsia" w:asciiTheme="minorEastAsia" w:hAnsiTheme="minorEastAsia" w:eastAsiaTheme="minorEastAsia" w:cstheme="minorEastAsia"/>
          <w:sz w:val="28"/>
          <w:szCs w:val="28"/>
        </w:rPr>
        <w:t>”。</w:t>
      </w:r>
    </w:p>
    <w:p w14:paraId="61C57F75">
      <w:pPr>
        <w:numPr>
          <w:ilvl w:val="0"/>
          <w:numId w:val="0"/>
        </w:numPr>
        <w:spacing w:line="520" w:lineRule="exact"/>
        <w:ind w:firstLine="663" w:firstLineChars="236"/>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kern w:val="2"/>
          <w:sz w:val="28"/>
          <w:szCs w:val="28"/>
          <w:lang w:val="en-US" w:eastAsia="zh-CN" w:bidi="ar-SA"/>
        </w:rPr>
        <w:t>（二）</w:t>
      </w:r>
      <w:r>
        <w:rPr>
          <w:rFonts w:hint="eastAsia" w:asciiTheme="minorEastAsia" w:hAnsiTheme="minorEastAsia" w:eastAsiaTheme="minorEastAsia" w:cstheme="minorEastAsia"/>
          <w:b/>
          <w:bCs/>
          <w:sz w:val="28"/>
          <w:szCs w:val="28"/>
          <w:lang w:val="en-US" w:eastAsia="zh-CN"/>
        </w:rPr>
        <w:t>项目</w:t>
      </w:r>
      <w:r>
        <w:rPr>
          <w:rFonts w:hint="eastAsia" w:asciiTheme="minorEastAsia" w:hAnsiTheme="minorEastAsia" w:eastAsiaTheme="minorEastAsia" w:cstheme="minorEastAsia"/>
          <w:b/>
          <w:sz w:val="28"/>
          <w:szCs w:val="28"/>
        </w:rPr>
        <w:t>资金使用绩效分析</w:t>
      </w:r>
    </w:p>
    <w:p w14:paraId="56CB0A61">
      <w:pPr>
        <w:spacing w:line="520" w:lineRule="exac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rPr>
        <w:t xml:space="preserve">     </w:t>
      </w:r>
      <w:r>
        <w:rPr>
          <w:rFonts w:hint="eastAsia" w:asciiTheme="minorEastAsia" w:hAnsiTheme="minorEastAsia" w:eastAsiaTheme="minorEastAsia" w:cstheme="minorEastAsia"/>
          <w:bCs/>
          <w:sz w:val="28"/>
          <w:szCs w:val="28"/>
        </w:rPr>
        <w:t>项目组在</w:t>
      </w:r>
      <w:r>
        <w:rPr>
          <w:rFonts w:hint="eastAsia" w:asciiTheme="minorEastAsia" w:hAnsiTheme="minorEastAsia" w:eastAsiaTheme="minorEastAsia" w:cstheme="minorEastAsia"/>
          <w:sz w:val="28"/>
          <w:szCs w:val="28"/>
        </w:rPr>
        <w:t>对各项目实施评价的过程中，对</w:t>
      </w:r>
      <w:r>
        <w:rPr>
          <w:rFonts w:hint="eastAsia" w:asciiTheme="minorEastAsia" w:hAnsiTheme="minorEastAsia" w:eastAsiaTheme="minorEastAsia" w:cstheme="minorEastAsia"/>
          <w:sz w:val="28"/>
          <w:szCs w:val="28"/>
          <w:lang w:val="en-US" w:eastAsia="zh-CN"/>
        </w:rPr>
        <w:t>龙岩跨境电商生态圈</w:t>
      </w:r>
      <w:r>
        <w:rPr>
          <w:rFonts w:hint="eastAsia" w:asciiTheme="minorEastAsia" w:hAnsiTheme="minorEastAsia" w:eastAsiaTheme="minorEastAsia" w:cstheme="minorEastAsia"/>
          <w:sz w:val="28"/>
          <w:szCs w:val="28"/>
        </w:rPr>
        <w:t>项目资金使用绩效进行分析总结。项目的实施</w:t>
      </w:r>
      <w:r>
        <w:rPr>
          <w:rFonts w:hint="eastAsia" w:asciiTheme="minorEastAsia" w:hAnsiTheme="minorEastAsia" w:eastAsiaTheme="minorEastAsia" w:cstheme="minorEastAsia"/>
          <w:sz w:val="28"/>
          <w:szCs w:val="28"/>
          <w:lang w:val="en-US" w:eastAsia="zh-CN"/>
        </w:rPr>
        <w:t>旨在搭建跨境电商育商育才体系</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助推龙岩跨境电商工作高质量发展。</w:t>
      </w:r>
    </w:p>
    <w:p w14:paraId="06B4F0DD">
      <w:pPr>
        <w:widowControl/>
        <w:numPr>
          <w:ilvl w:val="0"/>
          <w:numId w:val="2"/>
        </w:numPr>
        <w:shd w:val="clear" w:color="auto"/>
        <w:wordWrap w:val="0"/>
        <w:spacing w:line="520" w:lineRule="exact"/>
        <w:ind w:firstLine="562" w:firstLineChars="200"/>
        <w:jc w:val="left"/>
        <w:rPr>
          <w:rFonts w:asciiTheme="minorEastAsia" w:hAnsiTheme="minorEastAsia" w:eastAsiaTheme="minorEastAsia" w:cstheme="minorEastAsia"/>
          <w:b/>
          <w:sz w:val="28"/>
          <w:szCs w:val="28"/>
          <w:shd w:val="clear" w:color="auto" w:fill="FFFFFF"/>
        </w:rPr>
      </w:pPr>
      <w:r>
        <w:rPr>
          <w:rFonts w:hint="eastAsia" w:asciiTheme="minorEastAsia" w:hAnsiTheme="minorEastAsia" w:eastAsiaTheme="minorEastAsia" w:cstheme="minorEastAsia"/>
          <w:b/>
          <w:sz w:val="28"/>
          <w:szCs w:val="28"/>
          <w:shd w:val="clear" w:color="auto" w:fill="FFFFFF"/>
        </w:rPr>
        <w:t>项目</w:t>
      </w:r>
      <w:r>
        <w:rPr>
          <w:rFonts w:hint="eastAsia" w:asciiTheme="minorEastAsia" w:hAnsiTheme="minorEastAsia" w:eastAsiaTheme="minorEastAsia" w:cstheme="minorEastAsia"/>
          <w:b/>
          <w:sz w:val="28"/>
          <w:szCs w:val="28"/>
          <w:shd w:val="clear" w:color="auto" w:fill="FFFFFF"/>
          <w:lang w:val="en-US" w:eastAsia="zh-CN"/>
        </w:rPr>
        <w:t>决策、项目过程及项目产出情况</w:t>
      </w:r>
      <w:r>
        <w:rPr>
          <w:rFonts w:hint="eastAsia" w:asciiTheme="minorEastAsia" w:hAnsiTheme="minorEastAsia" w:eastAsiaTheme="minorEastAsia" w:cstheme="minorEastAsia"/>
          <w:b/>
          <w:sz w:val="28"/>
          <w:szCs w:val="28"/>
          <w:shd w:val="clear" w:color="auto" w:fill="FFFFFF"/>
        </w:rPr>
        <w:t>：</w:t>
      </w:r>
    </w:p>
    <w:p w14:paraId="122A60EF">
      <w:pPr>
        <w:widowControl/>
        <w:shd w:val="clear" w:color="auto"/>
        <w:wordWrap w:val="0"/>
        <w:spacing w:line="520" w:lineRule="exact"/>
        <w:ind w:firstLine="562" w:firstLineChars="200"/>
        <w:jc w:val="left"/>
        <w:rPr>
          <w:rFonts w:hint="default" w:asciiTheme="minorEastAsia" w:hAnsiTheme="minorEastAsia" w:eastAsiaTheme="minorEastAsia" w:cstheme="minorEastAsia"/>
          <w:b/>
          <w:sz w:val="28"/>
          <w:szCs w:val="28"/>
          <w:shd w:val="clear" w:color="auto" w:fill="FFFFFF"/>
          <w:lang w:val="en-US" w:eastAsia="zh-CN"/>
        </w:rPr>
      </w:pPr>
      <w:r>
        <w:rPr>
          <w:rFonts w:hint="eastAsia" w:asciiTheme="minorEastAsia" w:hAnsiTheme="minorEastAsia" w:eastAsiaTheme="minorEastAsia" w:cstheme="minorEastAsia"/>
          <w:b/>
          <w:sz w:val="28"/>
          <w:szCs w:val="28"/>
          <w:shd w:val="clear" w:color="auto" w:fill="FFFFFF"/>
        </w:rPr>
        <w:t>①</w:t>
      </w:r>
      <w:r>
        <w:rPr>
          <w:rFonts w:hint="eastAsia" w:asciiTheme="minorEastAsia" w:hAnsiTheme="minorEastAsia" w:eastAsiaTheme="minorEastAsia" w:cstheme="minorEastAsia"/>
          <w:b/>
          <w:sz w:val="28"/>
          <w:szCs w:val="28"/>
          <w:shd w:val="clear" w:color="auto" w:fill="FFFFFF"/>
          <w:lang w:val="en-US" w:eastAsia="zh-CN"/>
        </w:rPr>
        <w:t>项目决策</w:t>
      </w:r>
    </w:p>
    <w:p w14:paraId="6FBD9206">
      <w:pPr>
        <w:spacing w:line="520" w:lineRule="exact"/>
        <w:ind w:firstLine="570"/>
        <w:rPr>
          <w:rFonts w:asciiTheme="minorEastAsia" w:hAnsiTheme="minorEastAsia" w:eastAsiaTheme="minorEastAsia" w:cstheme="minorEastAsia"/>
          <w:sz w:val="28"/>
          <w:szCs w:val="28"/>
          <w:shd w:val="clear" w:color="auto" w:fill="FFFFFF"/>
        </w:rPr>
      </w:pPr>
      <w:r>
        <w:rPr>
          <w:rFonts w:hint="eastAsia" w:ascii="宋体" w:hAnsi="宋体"/>
          <w:sz w:val="28"/>
          <w:szCs w:val="28"/>
          <w:lang w:val="en-US" w:eastAsia="zh-CN"/>
        </w:rPr>
        <w:t>2021年3月30日，</w:t>
      </w:r>
      <w:r>
        <w:rPr>
          <w:rFonts w:hint="eastAsia" w:ascii="宋体" w:hAnsi="宋体"/>
          <w:sz w:val="28"/>
          <w:szCs w:val="28"/>
          <w:highlight w:val="none"/>
          <w:lang w:val="en-US" w:eastAsia="zh-CN"/>
        </w:rPr>
        <w:t>龙岩高新区（经开区）管委会</w:t>
      </w:r>
      <w:r>
        <w:rPr>
          <w:rFonts w:hint="eastAsia" w:ascii="宋体" w:hAnsi="宋体"/>
          <w:sz w:val="28"/>
          <w:szCs w:val="28"/>
          <w:lang w:val="en-US" w:eastAsia="zh-CN"/>
        </w:rPr>
        <w:t>召开龙岩跨境电商生态圈改造项目工作专题会议，会议指出：按照“统一设计、分部实施”原则，将东肖镇黄邦路2号厂房进行改造，打造龙岩跨境电商生态圈项目。</w:t>
      </w:r>
      <w:r>
        <w:rPr>
          <w:rFonts w:hint="eastAsia" w:ascii="宋体" w:hAnsi="宋体"/>
          <w:sz w:val="28"/>
          <w:szCs w:val="28"/>
        </w:rPr>
        <w:t>2021年6月，</w:t>
      </w:r>
      <w:r>
        <w:rPr>
          <w:rFonts w:hint="eastAsia" w:ascii="宋体" w:hAnsi="宋体"/>
          <w:sz w:val="28"/>
          <w:szCs w:val="28"/>
          <w:lang w:val="en-US" w:eastAsia="zh-CN"/>
        </w:rPr>
        <w:t>龙岩</w:t>
      </w:r>
      <w:r>
        <w:rPr>
          <w:rFonts w:hint="eastAsia" w:ascii="宋体" w:hAnsi="宋体"/>
          <w:sz w:val="28"/>
          <w:szCs w:val="28"/>
        </w:rPr>
        <w:t>市</w:t>
      </w:r>
      <w:r>
        <w:rPr>
          <w:rFonts w:hint="eastAsia" w:ascii="宋体" w:hAnsi="宋体"/>
          <w:sz w:val="28"/>
          <w:szCs w:val="28"/>
          <w:lang w:val="en-US" w:eastAsia="zh-CN"/>
        </w:rPr>
        <w:t>人民</w:t>
      </w:r>
      <w:r>
        <w:rPr>
          <w:rFonts w:hint="eastAsia" w:ascii="宋体" w:hAnsi="宋体"/>
          <w:sz w:val="28"/>
          <w:szCs w:val="28"/>
        </w:rPr>
        <w:t>政府办公室印发了《中国（龙岩）跨境电子商务综合试验区建设三年行动计划（2021-2023）》</w:t>
      </w:r>
      <w:r>
        <w:rPr>
          <w:rFonts w:hint="eastAsia" w:ascii="宋体" w:hAnsi="宋体"/>
          <w:sz w:val="28"/>
          <w:szCs w:val="28"/>
          <w:lang w:val="en-US" w:eastAsia="zh-CN"/>
        </w:rPr>
        <w:t>的通知</w:t>
      </w:r>
      <w:r>
        <w:rPr>
          <w:rFonts w:hint="eastAsia" w:ascii="宋体" w:hAnsi="宋体"/>
          <w:sz w:val="28"/>
          <w:szCs w:val="28"/>
        </w:rPr>
        <w:t>，对今后一段时期我市综试区建设的目标任务和重点工作进一步细化分解落实。</w:t>
      </w:r>
    </w:p>
    <w:p w14:paraId="4A85E21F">
      <w:pPr>
        <w:widowControl/>
        <w:shd w:val="clear" w:color="auto"/>
        <w:wordWrap w:val="0"/>
        <w:spacing w:line="520" w:lineRule="exact"/>
        <w:ind w:firstLine="562" w:firstLineChars="200"/>
        <w:jc w:val="left"/>
        <w:rPr>
          <w:rFonts w:hint="default" w:asciiTheme="minorEastAsia" w:hAnsiTheme="minorEastAsia" w:eastAsiaTheme="minorEastAsia" w:cstheme="minorEastAsia"/>
          <w:b/>
          <w:sz w:val="28"/>
          <w:szCs w:val="28"/>
          <w:lang w:val="en-US" w:eastAsia="zh-CN"/>
        </w:rPr>
      </w:pPr>
      <w:r>
        <w:rPr>
          <w:rFonts w:hint="eastAsia" w:asciiTheme="minorEastAsia" w:hAnsiTheme="minorEastAsia" w:eastAsiaTheme="minorEastAsia" w:cstheme="minorEastAsia"/>
          <w:b/>
          <w:sz w:val="28"/>
          <w:szCs w:val="28"/>
        </w:rPr>
        <w:t>②</w:t>
      </w:r>
      <w:r>
        <w:rPr>
          <w:rFonts w:hint="eastAsia" w:asciiTheme="minorEastAsia" w:hAnsiTheme="minorEastAsia" w:eastAsiaTheme="minorEastAsia" w:cstheme="minorEastAsia"/>
          <w:b/>
          <w:sz w:val="28"/>
          <w:szCs w:val="28"/>
          <w:lang w:val="en-US" w:eastAsia="zh-CN"/>
        </w:rPr>
        <w:t>项目过程</w:t>
      </w:r>
    </w:p>
    <w:p w14:paraId="24EFDE1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b w:val="0"/>
          <w:bCs/>
          <w:sz w:val="28"/>
          <w:szCs w:val="28"/>
          <w:lang w:val="en-US" w:eastAsia="zh-CN"/>
        </w:rPr>
      </w:pPr>
      <w:r>
        <w:rPr>
          <w:rFonts w:hint="eastAsia" w:asciiTheme="minorEastAsia" w:hAnsiTheme="minorEastAsia" w:eastAsiaTheme="minorEastAsia" w:cstheme="minorEastAsia"/>
          <w:b w:val="0"/>
          <w:bCs/>
          <w:sz w:val="28"/>
          <w:szCs w:val="28"/>
        </w:rPr>
        <w:t>2021年7月1日经开区（高新区）投资促进中心与龙岩市龙耀建设发展有限公司、龙岩经济技术开发区招商服务有限公司签订三方合同，</w:t>
      </w:r>
      <w:r>
        <w:rPr>
          <w:rFonts w:hint="eastAsia" w:asciiTheme="minorEastAsia" w:hAnsiTheme="minorEastAsia" w:eastAsiaTheme="minorEastAsia" w:cstheme="minorEastAsia"/>
          <w:b w:val="0"/>
          <w:bCs/>
          <w:sz w:val="28"/>
          <w:szCs w:val="28"/>
          <w:lang w:val="en-US" w:eastAsia="zh-CN"/>
        </w:rPr>
        <w:t>合同约定：由龙岩市龙耀建设发展有限公司将座落于龙岩市新罗区东肖镇黄邦路2号厂房出租用于龙岩跨境电商生态圈使用，租赁</w:t>
      </w:r>
      <w:r>
        <w:rPr>
          <w:rFonts w:hint="eastAsia" w:asciiTheme="minorEastAsia" w:hAnsiTheme="minorEastAsia" w:eastAsiaTheme="minorEastAsia" w:cstheme="minorEastAsia"/>
          <w:b w:val="0"/>
          <w:bCs/>
          <w:sz w:val="28"/>
          <w:szCs w:val="28"/>
        </w:rPr>
        <w:t>面积3782㎡，50元/月/㎡，即18.91万元/月租金</w:t>
      </w:r>
      <w:r>
        <w:rPr>
          <w:rFonts w:hint="eastAsia" w:asciiTheme="minorEastAsia" w:hAnsiTheme="minorEastAsia" w:eastAsiaTheme="minorEastAsia" w:cstheme="minorEastAsia"/>
          <w:b w:val="0"/>
          <w:bCs/>
          <w:sz w:val="28"/>
          <w:szCs w:val="28"/>
          <w:lang w:eastAsia="zh-CN"/>
        </w:rPr>
        <w:t>，</w:t>
      </w:r>
      <w:r>
        <w:rPr>
          <w:rFonts w:hint="eastAsia" w:asciiTheme="minorEastAsia" w:hAnsiTheme="minorEastAsia" w:eastAsiaTheme="minorEastAsia" w:cstheme="minorEastAsia"/>
          <w:b w:val="0"/>
          <w:bCs/>
          <w:sz w:val="28"/>
          <w:szCs w:val="28"/>
          <w:lang w:val="en-US" w:eastAsia="zh-CN"/>
        </w:rPr>
        <w:t>租赁期限自2021年7月1日起至2024年12月31日止</w:t>
      </w:r>
      <w:r>
        <w:rPr>
          <w:rFonts w:hint="eastAsia" w:asciiTheme="minorEastAsia" w:hAnsiTheme="minorEastAsia" w:eastAsiaTheme="minorEastAsia" w:cstheme="minorEastAsia"/>
          <w:b w:val="0"/>
          <w:bCs/>
          <w:sz w:val="28"/>
          <w:szCs w:val="28"/>
          <w:lang w:eastAsia="zh-CN"/>
        </w:rPr>
        <w:t>；</w:t>
      </w:r>
      <w:r>
        <w:rPr>
          <w:rFonts w:hint="eastAsia" w:asciiTheme="minorEastAsia" w:hAnsiTheme="minorEastAsia" w:eastAsiaTheme="minorEastAsia" w:cstheme="minorEastAsia"/>
          <w:b w:val="0"/>
          <w:bCs/>
          <w:sz w:val="28"/>
          <w:szCs w:val="28"/>
          <w:lang w:val="en-US" w:eastAsia="zh-CN"/>
        </w:rPr>
        <w:t>由</w:t>
      </w:r>
      <w:r>
        <w:rPr>
          <w:rFonts w:hint="eastAsia" w:asciiTheme="minorEastAsia" w:hAnsiTheme="minorEastAsia" w:eastAsiaTheme="minorEastAsia" w:cstheme="minorEastAsia"/>
          <w:b w:val="0"/>
          <w:bCs/>
          <w:sz w:val="28"/>
          <w:szCs w:val="28"/>
        </w:rPr>
        <w:t>龙岩经济技术开发区招商服务有限公司</w:t>
      </w:r>
      <w:r>
        <w:rPr>
          <w:rFonts w:hint="eastAsia" w:asciiTheme="minorEastAsia" w:hAnsiTheme="minorEastAsia" w:eastAsiaTheme="minorEastAsia" w:cstheme="minorEastAsia"/>
          <w:b w:val="0"/>
          <w:bCs/>
          <w:sz w:val="28"/>
          <w:szCs w:val="28"/>
          <w:lang w:val="en-US" w:eastAsia="zh-CN"/>
        </w:rPr>
        <w:t>负责监管跨境电商生态圈内第三方运营及招商入驻企业。</w:t>
      </w:r>
    </w:p>
    <w:p w14:paraId="66EE782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b w:val="0"/>
          <w:bCs/>
          <w:sz w:val="28"/>
          <w:szCs w:val="28"/>
          <w:lang w:val="en-US" w:eastAsia="zh-CN"/>
        </w:rPr>
      </w:pPr>
      <w:r>
        <w:rPr>
          <w:rFonts w:hint="eastAsia" w:asciiTheme="minorEastAsia" w:hAnsiTheme="minorEastAsia" w:eastAsiaTheme="minorEastAsia" w:cstheme="minorEastAsia"/>
          <w:b w:val="0"/>
          <w:bCs/>
          <w:sz w:val="28"/>
          <w:szCs w:val="28"/>
          <w:lang w:val="en-US" w:eastAsia="zh-CN"/>
        </w:rPr>
        <w:t>2021年7月1日，龙岩经济技术开发区招商服务有限公司与福建省龙竞园区管理服务有限公司签订龙岩跨境电商生态圈运营合作协议，协议约定：由福建省龙竞园区管理服务有限公司负责园区A栋及户外约3636.59㎡的整体运营与招商工作，合作期限自2021年7月1日起至2024年12月31日止，合作期为3.5年，2021年7月1日至2023年6月30日不向运营方收取场地租金，2023年7月1日至2024年12月31日按场地实际租金（租金标准为15元/㎡/月）的50%收取，运营补助金额为30元/㎡/月。协议约定2021年度考核及约束内容为：1、培育跨境电商线上公共服务平台备案企业数1个；2、培育跨境电商进出口交易额1000万元；3、招商入驻面积占可招商总面积的40%；3、完成跨境电商专业人才培训人次50人。</w:t>
      </w:r>
    </w:p>
    <w:p w14:paraId="7BB056E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b w:val="0"/>
          <w:bCs/>
          <w:sz w:val="28"/>
          <w:szCs w:val="28"/>
          <w:lang w:val="en-US" w:eastAsia="zh-CN"/>
        </w:rPr>
      </w:pPr>
      <w:r>
        <w:rPr>
          <w:rFonts w:hint="eastAsia" w:asciiTheme="minorEastAsia" w:hAnsiTheme="minorEastAsia" w:eastAsiaTheme="minorEastAsia" w:cstheme="minorEastAsia"/>
          <w:b w:val="0"/>
          <w:bCs/>
          <w:sz w:val="28"/>
          <w:szCs w:val="28"/>
          <w:lang w:val="en-US" w:eastAsia="zh-CN"/>
        </w:rPr>
        <w:t>2023年9月26日，</w:t>
      </w:r>
      <w:bookmarkStart w:id="2" w:name="OLE_LINK1"/>
      <w:r>
        <w:rPr>
          <w:rFonts w:hint="eastAsia" w:asciiTheme="minorEastAsia" w:hAnsiTheme="minorEastAsia" w:eastAsiaTheme="minorEastAsia" w:cstheme="minorEastAsia"/>
          <w:b w:val="0"/>
          <w:bCs/>
          <w:sz w:val="28"/>
          <w:szCs w:val="28"/>
          <w:lang w:val="en-US" w:eastAsia="zh-CN"/>
        </w:rPr>
        <w:t>龙岩经济技术开发区招商服务有限公司与福建省龙竞园区管理服务有限公司签订龙岩跨境电商生态圈运营合作补充协议，协议约定2022年度考核及约束内容为：</w:t>
      </w:r>
      <w:bookmarkEnd w:id="2"/>
      <w:r>
        <w:rPr>
          <w:rFonts w:hint="eastAsia" w:asciiTheme="minorEastAsia" w:hAnsiTheme="minorEastAsia" w:eastAsiaTheme="minorEastAsia" w:cstheme="minorEastAsia"/>
          <w:b w:val="0"/>
          <w:bCs/>
          <w:sz w:val="28"/>
          <w:szCs w:val="28"/>
          <w:lang w:val="en-US" w:eastAsia="zh-CN"/>
        </w:rPr>
        <w:t>1、培育跨境电商线上公共服务平台备案企业数8个；2、培育跨境电商进出口交易额1500万美元；3、招商入驻面积占可招商总面积的50%；3、完成跨境电商专业人才培训人次270人。</w:t>
      </w:r>
    </w:p>
    <w:p w14:paraId="66100DD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b w:val="0"/>
          <w:bCs/>
          <w:sz w:val="28"/>
          <w:szCs w:val="28"/>
          <w:lang w:val="en-US" w:eastAsia="zh-CN"/>
        </w:rPr>
      </w:pPr>
      <w:r>
        <w:rPr>
          <w:rFonts w:hint="eastAsia" w:asciiTheme="minorEastAsia" w:hAnsiTheme="minorEastAsia" w:eastAsiaTheme="minorEastAsia" w:cstheme="minorEastAsia"/>
          <w:b w:val="0"/>
          <w:bCs/>
          <w:sz w:val="28"/>
          <w:szCs w:val="28"/>
          <w:lang w:val="en-US" w:eastAsia="zh-CN"/>
        </w:rPr>
        <w:t>2023年9月28日，龙岩经济技术开发区招商服务有限公司与福建省龙竞园区管理服务有限公司签订龙岩跨境电商生态圈运营解除协议书，协议约定：双方自2023年10月1日起，解除于2021年7月签订的《龙岩跨境电商生态圈运营合作协议》及相关补充协议。</w:t>
      </w:r>
    </w:p>
    <w:p w14:paraId="607DDAB2">
      <w:pPr>
        <w:widowControl/>
        <w:shd w:val="clear" w:color="auto"/>
        <w:wordWrap w:val="0"/>
        <w:spacing w:line="520" w:lineRule="exact"/>
        <w:ind w:firstLine="562" w:firstLineChars="200"/>
        <w:jc w:val="left"/>
        <w:rPr>
          <w:rFonts w:hint="eastAsia" w:asciiTheme="minorEastAsia" w:hAnsiTheme="minorEastAsia" w:eastAsiaTheme="minorEastAsia" w:cstheme="minorEastAsia"/>
          <w:b/>
          <w:sz w:val="28"/>
          <w:szCs w:val="28"/>
          <w:lang w:val="en-US" w:eastAsia="zh-CN"/>
        </w:rPr>
      </w:pPr>
      <w:r>
        <w:rPr>
          <w:rFonts w:hint="eastAsia" w:asciiTheme="minorEastAsia" w:hAnsiTheme="minorEastAsia" w:eastAsiaTheme="minorEastAsia" w:cstheme="minorEastAsia"/>
          <w:b/>
          <w:sz w:val="28"/>
          <w:szCs w:val="28"/>
          <w:lang w:val="en-US" w:eastAsia="zh-CN"/>
        </w:rPr>
        <w:t>③项目产出</w:t>
      </w:r>
    </w:p>
    <w:p w14:paraId="3CC647C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b w:val="0"/>
          <w:bCs/>
          <w:sz w:val="28"/>
          <w:szCs w:val="28"/>
          <w:lang w:val="en-US" w:eastAsia="zh-CN"/>
        </w:rPr>
      </w:pPr>
      <w:r>
        <w:rPr>
          <w:rFonts w:hint="eastAsia" w:asciiTheme="minorEastAsia" w:hAnsiTheme="minorEastAsia" w:eastAsiaTheme="minorEastAsia" w:cstheme="minorEastAsia"/>
          <w:b w:val="0"/>
          <w:bCs/>
          <w:sz w:val="28"/>
          <w:szCs w:val="28"/>
          <w:lang w:val="en-US" w:eastAsia="zh-CN"/>
        </w:rPr>
        <w:t>根据提供的2021年度龙岩跨境电商生态圈验收材料完成指标考核表显示，2021年度完成：1、培育跨境电商线上公共服务平台备案企业数15个；2、培育跨境电商进出口交易额8722万美元；3、招商入驻面积1482㎡，占园区A期可招商总面积的76%；4、完成跨境电商专业人才培训“跨境电商蓝海起点，闽西实践创业领航”、“新手小白如何玩转跨境电商”等12场主题活动，参与活动培训人数318人。</w:t>
      </w:r>
    </w:p>
    <w:p w14:paraId="78E51E0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b/>
          <w:sz w:val="28"/>
          <w:szCs w:val="28"/>
          <w:lang w:val="en-US" w:eastAsia="zh-CN"/>
        </w:rPr>
      </w:pPr>
      <w:r>
        <w:rPr>
          <w:rFonts w:hint="eastAsia" w:asciiTheme="minorEastAsia" w:hAnsiTheme="minorEastAsia" w:eastAsiaTheme="minorEastAsia" w:cstheme="minorEastAsia"/>
          <w:b w:val="0"/>
          <w:bCs/>
          <w:sz w:val="28"/>
          <w:szCs w:val="28"/>
          <w:lang w:val="en-US" w:eastAsia="zh-CN"/>
        </w:rPr>
        <w:t>根据提供的2022年度龙岩跨境电商生态圈验收材料完成指标考核表显示，2022年度完成：1、培育跨境电商线上公共服务平台备案企业数13个；2、培育跨境电商进出口交易额12741.13万美元；3、招商入驻面积占比72.27%；4、完成跨境电商专业人才培训“跨境批发、蓝海掘金”、“shoppe孵化系列活动”等主题活动14场，其中联合跨境电商平台开展育商、孵化、经验分享等专题会10余场，参与人数283人。</w:t>
      </w:r>
    </w:p>
    <w:p w14:paraId="2BF6C125">
      <w:pPr>
        <w:widowControl/>
        <w:numPr>
          <w:ilvl w:val="0"/>
          <w:numId w:val="2"/>
        </w:numPr>
        <w:shd w:val="clear" w:color="auto"/>
        <w:wordWrap w:val="0"/>
        <w:spacing w:line="520" w:lineRule="exact"/>
        <w:ind w:firstLine="562" w:firstLineChars="200"/>
        <w:jc w:val="lef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支出效益分析</w:t>
      </w:r>
    </w:p>
    <w:p w14:paraId="0DC22679">
      <w:pPr>
        <w:widowControl/>
        <w:shd w:val="clear" w:color="auto"/>
        <w:wordWrap w:val="0"/>
        <w:spacing w:line="520" w:lineRule="exact"/>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lang w:val="en-US" w:eastAsia="zh-CN"/>
        </w:rPr>
        <w:t>结合综试区三年建设目标任务（跨境电商进出口交易额、线上公共服务平台备案企业、线下产业园建设、人才培训任务），运营商自入驻以来举办了“闽西制造</w:t>
      </w:r>
      <w:r>
        <w:rPr>
          <w:rFonts w:hint="eastAsia" w:ascii="宋体" w:hAnsi="宋体" w:eastAsia="宋体" w:cs="宋体"/>
          <w:sz w:val="28"/>
          <w:szCs w:val="28"/>
          <w:lang w:val="en-US" w:eastAsia="zh-CN"/>
        </w:rPr>
        <w:t>·</w:t>
      </w:r>
      <w:r>
        <w:rPr>
          <w:rFonts w:hint="eastAsia" w:asciiTheme="minorEastAsia" w:hAnsiTheme="minorEastAsia" w:eastAsiaTheme="minorEastAsia" w:cstheme="minorEastAsia"/>
          <w:sz w:val="28"/>
          <w:szCs w:val="28"/>
          <w:lang w:val="en-US" w:eastAsia="zh-CN"/>
        </w:rPr>
        <w:t>货通全球</w:t>
      </w:r>
      <w:r>
        <w:rPr>
          <w:rFonts w:hint="eastAsia" w:ascii="宋体" w:hAnsi="宋体" w:eastAsia="宋体" w:cs="宋体"/>
          <w:sz w:val="28"/>
          <w:szCs w:val="28"/>
          <w:lang w:val="en-US" w:eastAsia="zh-CN"/>
        </w:rPr>
        <w:t>－</w:t>
      </w:r>
      <w:r>
        <w:rPr>
          <w:rFonts w:hint="eastAsia" w:asciiTheme="minorEastAsia" w:hAnsiTheme="minorEastAsia" w:eastAsiaTheme="minorEastAsia" w:cstheme="minorEastAsia"/>
          <w:sz w:val="28"/>
          <w:szCs w:val="28"/>
          <w:lang w:val="en-US" w:eastAsia="zh-CN"/>
        </w:rPr>
        <w:t>阿里找工厂”、电商学苑公益培训会、全球速卖通品牌出海等多项活动，定期组织跨境电商交流会议和培训班。</w:t>
      </w:r>
      <w:r>
        <w:rPr>
          <w:rFonts w:hint="eastAsia" w:asciiTheme="minorEastAsia" w:hAnsiTheme="minorEastAsia" w:eastAsiaTheme="minorEastAsia" w:cstheme="minorEastAsia"/>
          <w:sz w:val="28"/>
          <w:szCs w:val="28"/>
          <w:highlight w:val="none"/>
          <w:lang w:val="en-US" w:eastAsia="zh-CN"/>
        </w:rPr>
        <w:t>根据龙岩经济技术开发区招商服务有限公司提供的</w:t>
      </w:r>
      <w:r>
        <w:rPr>
          <w:rFonts w:hint="eastAsia" w:asciiTheme="minorEastAsia" w:hAnsiTheme="minorEastAsia" w:eastAsiaTheme="minorEastAsia" w:cstheme="minorEastAsia"/>
          <w:sz w:val="28"/>
          <w:szCs w:val="28"/>
          <w:highlight w:val="none"/>
        </w:rPr>
        <w:t>项目</w:t>
      </w:r>
      <w:r>
        <w:rPr>
          <w:rFonts w:hint="eastAsia" w:asciiTheme="minorEastAsia" w:hAnsiTheme="minorEastAsia" w:eastAsiaTheme="minorEastAsia" w:cstheme="minorEastAsia"/>
          <w:sz w:val="28"/>
          <w:szCs w:val="28"/>
          <w:highlight w:val="none"/>
          <w:lang w:val="en-US" w:eastAsia="zh-CN"/>
        </w:rPr>
        <w:t>各年入驻企业的数据统计及项目运营方提供的2021、2022年度项目验收材料</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val="en-US" w:eastAsia="zh-CN"/>
        </w:rPr>
        <w:t>项目总体营运情况一般</w:t>
      </w:r>
      <w:r>
        <w:rPr>
          <w:rFonts w:hint="eastAsia" w:asciiTheme="minorEastAsia" w:hAnsiTheme="minorEastAsia" w:eastAsiaTheme="minorEastAsia" w:cstheme="minorEastAsia"/>
          <w:sz w:val="28"/>
          <w:szCs w:val="28"/>
          <w:highlight w:val="none"/>
        </w:rPr>
        <w:t>。</w:t>
      </w:r>
    </w:p>
    <w:p w14:paraId="5A240F38">
      <w:pPr>
        <w:shd w:val="clear"/>
        <w:spacing w:line="520" w:lineRule="exact"/>
        <w:ind w:firstLine="663" w:firstLineChars="236"/>
        <w:rPr>
          <w:rFonts w:asciiTheme="minorEastAsia" w:hAnsiTheme="minorEastAsia" w:eastAsiaTheme="minorEastAsia" w:cstheme="minorEastAsia"/>
          <w:b/>
          <w:sz w:val="28"/>
          <w:szCs w:val="28"/>
          <w:highlight w:val="none"/>
        </w:rPr>
      </w:pPr>
      <w:r>
        <w:rPr>
          <w:rFonts w:hint="eastAsia" w:asciiTheme="minorEastAsia" w:hAnsiTheme="minorEastAsia" w:eastAsiaTheme="minorEastAsia" w:cstheme="minorEastAsia"/>
          <w:b/>
          <w:sz w:val="28"/>
          <w:szCs w:val="28"/>
          <w:highlight w:val="none"/>
        </w:rPr>
        <w:t>四、绩效评价发现的问题</w:t>
      </w:r>
    </w:p>
    <w:p w14:paraId="6D3038C1">
      <w:pPr>
        <w:spacing w:line="520" w:lineRule="exact"/>
        <w:ind w:firstLine="663" w:firstLineChars="236"/>
        <w:rPr>
          <w:rFonts w:hint="default" w:asciiTheme="minorEastAsia" w:hAnsiTheme="minorEastAsia" w:eastAsiaTheme="minorEastAsia" w:cstheme="minorEastAsia"/>
          <w:b/>
          <w:sz w:val="28"/>
          <w:szCs w:val="28"/>
          <w:lang w:val="en-US" w:eastAsia="zh-CN"/>
        </w:rPr>
      </w:pPr>
      <w:r>
        <w:rPr>
          <w:rFonts w:hint="eastAsia" w:asciiTheme="minorEastAsia" w:hAnsiTheme="minorEastAsia" w:eastAsiaTheme="minorEastAsia" w:cstheme="minorEastAsia"/>
          <w:b/>
          <w:sz w:val="28"/>
          <w:szCs w:val="28"/>
        </w:rPr>
        <w:t>（一）</w:t>
      </w:r>
      <w:r>
        <w:rPr>
          <w:rFonts w:hint="eastAsia" w:asciiTheme="minorEastAsia" w:hAnsiTheme="minorEastAsia" w:eastAsiaTheme="minorEastAsia" w:cstheme="minorEastAsia"/>
          <w:b/>
          <w:sz w:val="28"/>
          <w:szCs w:val="28"/>
          <w:lang w:val="en-US" w:eastAsia="zh-CN"/>
        </w:rPr>
        <w:t>生态圈人气聚集不足</w:t>
      </w:r>
    </w:p>
    <w:p w14:paraId="6E6FD812">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行业领军企业不多，人气不足，企业质量还需要提高，园区入驻企业社保缴交较少，园区一楼闲置较多。</w:t>
      </w:r>
    </w:p>
    <w:p w14:paraId="5EBE657B">
      <w:pPr>
        <w:numPr>
          <w:ilvl w:val="0"/>
          <w:numId w:val="0"/>
        </w:numPr>
        <w:spacing w:line="520" w:lineRule="exact"/>
        <w:ind w:left="0" w:leftChars="0" w:firstLine="663" w:firstLineChars="236"/>
        <w:rPr>
          <w:rFonts w:hint="eastAsia" w:asciiTheme="minorEastAsia" w:hAnsiTheme="minorEastAsia" w:eastAsiaTheme="minorEastAsia" w:cstheme="minorEastAsia"/>
          <w:b/>
          <w:sz w:val="28"/>
          <w:szCs w:val="28"/>
          <w:lang w:val="en-US" w:eastAsia="zh-CN"/>
        </w:rPr>
      </w:pPr>
      <w:r>
        <w:rPr>
          <w:rFonts w:hint="eastAsia" w:asciiTheme="minorEastAsia" w:hAnsiTheme="minorEastAsia" w:eastAsiaTheme="minorEastAsia" w:cstheme="minorEastAsia"/>
          <w:b/>
          <w:kern w:val="2"/>
          <w:sz w:val="28"/>
          <w:szCs w:val="28"/>
          <w:lang w:val="en-US" w:eastAsia="zh-CN" w:bidi="ar-SA"/>
        </w:rPr>
        <w:t>（二）</w:t>
      </w:r>
      <w:r>
        <w:rPr>
          <w:rFonts w:hint="eastAsia" w:asciiTheme="minorEastAsia" w:hAnsiTheme="minorEastAsia" w:eastAsiaTheme="minorEastAsia" w:cstheme="minorEastAsia"/>
          <w:b/>
          <w:sz w:val="28"/>
          <w:szCs w:val="28"/>
          <w:lang w:val="en-US" w:eastAsia="zh-CN"/>
        </w:rPr>
        <w:t>管理不规范，台账不清晰</w:t>
      </w:r>
    </w:p>
    <w:p w14:paraId="576A234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企业进出机制不完善，管理较混乱，入驻企业信息不全，对园区运营情况不够了解。</w:t>
      </w:r>
    </w:p>
    <w:p w14:paraId="13C1FDD1">
      <w:pPr>
        <w:spacing w:line="520" w:lineRule="exact"/>
        <w:ind w:firstLine="562" w:firstLineChars="200"/>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（三）绩效管理指标较少，不利于后期绩效跟踪评价</w:t>
      </w:r>
    </w:p>
    <w:p w14:paraId="761767D3">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sz w:val="28"/>
          <w:szCs w:val="28"/>
          <w:lang w:val="en-US" w:eastAsia="zh-CN"/>
        </w:rPr>
        <w:t>2021年7月1日，龙岩经济技术开发区招商服务有限公司与福建省龙竞园区管理服务有限公司签订的龙岩跨境电商生态圈运营合作协议中约定考核及约束内容，</w:t>
      </w:r>
      <w:r>
        <w:rPr>
          <w:rFonts w:hint="eastAsia" w:asciiTheme="minorEastAsia" w:hAnsiTheme="minorEastAsia" w:eastAsiaTheme="minorEastAsia" w:cstheme="minorEastAsia"/>
          <w:sz w:val="28"/>
          <w:szCs w:val="28"/>
          <w:lang w:val="en-US" w:eastAsia="zh-CN"/>
        </w:rPr>
        <w:t>绩效管理指标设置较少，覆盖不足，未考虑项目在经济效益等方面取得的实施效果，可能导致绩效评价结果不够全面、完整。</w:t>
      </w:r>
    </w:p>
    <w:p w14:paraId="3AE49188">
      <w:pPr>
        <w:spacing w:line="520" w:lineRule="exact"/>
        <w:ind w:firstLine="663" w:firstLineChars="236"/>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五、绩效评价建议</w:t>
      </w:r>
    </w:p>
    <w:p w14:paraId="02DBC36A">
      <w:pPr>
        <w:spacing w:line="520" w:lineRule="exact"/>
        <w:ind w:firstLine="663" w:firstLineChars="236"/>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lang w:eastAsia="zh-CN"/>
        </w:rPr>
        <w:t>（</w:t>
      </w:r>
      <w:r>
        <w:rPr>
          <w:rFonts w:hint="eastAsia" w:asciiTheme="minorEastAsia" w:hAnsiTheme="minorEastAsia" w:eastAsiaTheme="minorEastAsia" w:cstheme="minorEastAsia"/>
          <w:b/>
          <w:sz w:val="28"/>
          <w:szCs w:val="28"/>
          <w:lang w:val="en-US" w:eastAsia="zh-CN"/>
        </w:rPr>
        <w:t>一</w:t>
      </w:r>
      <w:r>
        <w:rPr>
          <w:rFonts w:hint="eastAsia" w:asciiTheme="minorEastAsia" w:hAnsiTheme="minorEastAsia" w:eastAsiaTheme="minorEastAsia" w:cstheme="minorEastAsia"/>
          <w:b/>
          <w:sz w:val="28"/>
          <w:szCs w:val="28"/>
          <w:lang w:eastAsia="zh-CN"/>
        </w:rPr>
        <w:t>）</w:t>
      </w:r>
      <w:r>
        <w:rPr>
          <w:rFonts w:hint="eastAsia" w:asciiTheme="minorEastAsia" w:hAnsiTheme="minorEastAsia" w:eastAsiaTheme="minorEastAsia" w:cstheme="minorEastAsia"/>
          <w:b/>
          <w:sz w:val="28"/>
          <w:szCs w:val="28"/>
        </w:rPr>
        <w:t>完善项目绩效管理，加强项目跟踪监督</w:t>
      </w:r>
    </w:p>
    <w:p w14:paraId="16536390">
      <w:pPr>
        <w:spacing w:line="520" w:lineRule="exact"/>
        <w:ind w:firstLine="560" w:firstLineChars="200"/>
        <w:rPr>
          <w:rStyle w:val="16"/>
          <w:rFonts w:hint="eastAsia" w:asciiTheme="minorEastAsia" w:hAnsiTheme="minorEastAsia" w:eastAsiaTheme="minorEastAsia" w:cstheme="minorEastAsia"/>
          <w:b w:val="0"/>
          <w:bCs w:val="0"/>
          <w:smallCaps/>
          <w:kern w:val="0"/>
          <w:sz w:val="28"/>
          <w:szCs w:val="28"/>
          <w:shd w:val="clear" w:color="auto" w:fill="FFFFFF"/>
          <w:lang w:bidi="ar"/>
        </w:rPr>
      </w:pPr>
      <w:r>
        <w:rPr>
          <w:rStyle w:val="16"/>
          <w:rFonts w:hint="eastAsia" w:asciiTheme="minorEastAsia" w:hAnsiTheme="minorEastAsia" w:eastAsiaTheme="minorEastAsia" w:cstheme="minorEastAsia"/>
          <w:b w:val="0"/>
          <w:bCs w:val="0"/>
          <w:smallCaps/>
          <w:kern w:val="0"/>
          <w:sz w:val="28"/>
          <w:szCs w:val="28"/>
          <w:shd w:val="clear" w:color="auto" w:fill="FFFFFF"/>
          <w:lang w:bidi="ar"/>
        </w:rPr>
        <w:t>项目单位应优化绩效指标，强调定性和定量的相互结合，所设定的绩效目标应符合客观实际，建立科学的绩效评价指标，实现对财政支出合理性和效率性的判断。通过清晰、可衡量的指标值体现出项目预期产出的效益，做好执行跟踪，发现问题时及时纠正，使财政资金及时发挥效益，更好的服务社会，提升社会效益。</w:t>
      </w:r>
    </w:p>
    <w:p w14:paraId="50AEFAF4">
      <w:pPr>
        <w:spacing w:line="520" w:lineRule="exact"/>
        <w:ind w:firstLine="562" w:firstLineChars="200"/>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lang w:eastAsia="zh-CN"/>
        </w:rPr>
        <w:t>（</w:t>
      </w:r>
      <w:r>
        <w:rPr>
          <w:rFonts w:hint="eastAsia" w:asciiTheme="minorEastAsia" w:hAnsiTheme="minorEastAsia" w:eastAsiaTheme="minorEastAsia" w:cstheme="minorEastAsia"/>
          <w:b/>
          <w:sz w:val="28"/>
          <w:szCs w:val="28"/>
          <w:lang w:val="en-US" w:eastAsia="zh-CN"/>
        </w:rPr>
        <w:t>二</w:t>
      </w:r>
      <w:r>
        <w:rPr>
          <w:rFonts w:hint="eastAsia" w:asciiTheme="minorEastAsia" w:hAnsiTheme="minorEastAsia" w:eastAsiaTheme="minorEastAsia" w:cstheme="minorEastAsia"/>
          <w:b/>
          <w:sz w:val="28"/>
          <w:szCs w:val="28"/>
          <w:lang w:eastAsia="zh-CN"/>
        </w:rPr>
        <w:t>）</w:t>
      </w:r>
      <w:r>
        <w:rPr>
          <w:rFonts w:hint="eastAsia" w:asciiTheme="minorEastAsia" w:hAnsiTheme="minorEastAsia" w:eastAsiaTheme="minorEastAsia" w:cstheme="minorEastAsia"/>
          <w:b/>
          <w:sz w:val="28"/>
          <w:szCs w:val="28"/>
        </w:rPr>
        <w:t>严格执行财务核算，加强资金监管</w:t>
      </w:r>
    </w:p>
    <w:p w14:paraId="135E284A">
      <w:pPr>
        <w:spacing w:line="520" w:lineRule="exact"/>
        <w:ind w:left="-142"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首先，建议建立项目台帐。项目资金来源各级财政拨款、且项目数量多，应建立项目收支台账，合理区分资金来源，确保专款专用，对项目资金不挪用、不挤占、不改变用途；</w:t>
      </w:r>
    </w:p>
    <w:p w14:paraId="79D5C20D">
      <w:pPr>
        <w:spacing w:line="520" w:lineRule="exact"/>
        <w:ind w:left="-142"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其次，严格按项目进度付款。支付项目进度款必须按合同条款及实际工程进度进行支付，不得“以拨代支”。</w:t>
      </w:r>
    </w:p>
    <w:p w14:paraId="6418D4FF">
      <w:pPr>
        <w:spacing w:line="440" w:lineRule="exact"/>
        <w:ind w:left="-142"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再次，完善项目资金支付手续，如项目资金支付时，支付单位与签订合同方不一致，应及时补充合同签订单位的付款委托书或项目实施单位已代垫款项证明后方能支付款项，规避支付风险；</w:t>
      </w:r>
    </w:p>
    <w:p w14:paraId="05C8CF00">
      <w:pPr>
        <w:spacing w:line="440" w:lineRule="exact"/>
        <w:ind w:left="-142"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最后，加强资金拨付后续管理。项目资金拨付实施单位后，缺少后续监管，由实施单位自行统筹安排，在项目间调剂使用。建议建立重大项目建设资金跟踪检查制度和信息反馈系统，确保财政资金使用安全、规范、合理。</w:t>
      </w:r>
    </w:p>
    <w:p w14:paraId="405470CA">
      <w:pPr>
        <w:numPr>
          <w:ilvl w:val="0"/>
          <w:numId w:val="0"/>
        </w:numPr>
        <w:spacing w:line="440" w:lineRule="exact"/>
        <w:ind w:left="496" w:leftChars="236"/>
        <w:rPr>
          <w:rFonts w:hint="default"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kern w:val="2"/>
          <w:sz w:val="28"/>
          <w:szCs w:val="28"/>
          <w:lang w:val="en-US" w:eastAsia="zh-CN" w:bidi="ar-SA"/>
        </w:rPr>
        <w:t>（三）</w:t>
      </w:r>
      <w:r>
        <w:rPr>
          <w:rFonts w:hint="eastAsia" w:asciiTheme="minorEastAsia" w:hAnsiTheme="minorEastAsia" w:eastAsiaTheme="minorEastAsia" w:cstheme="minorEastAsia"/>
          <w:b/>
          <w:bCs/>
          <w:sz w:val="28"/>
          <w:szCs w:val="28"/>
          <w:lang w:val="en-US" w:eastAsia="zh-CN"/>
        </w:rPr>
        <w:t>继续出台扶持政策</w:t>
      </w:r>
    </w:p>
    <w:p w14:paraId="5C9BBD5B">
      <w:pPr>
        <w:widowControl/>
        <w:shd w:val="clear" w:color="auto"/>
        <w:spacing w:after="225" w:line="440" w:lineRule="exact"/>
        <w:ind w:firstLine="562"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lang w:val="en-US" w:eastAsia="zh-CN"/>
        </w:rPr>
        <w:t>1、做大产业规模提升产业层次</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sz w:val="28"/>
          <w:szCs w:val="28"/>
        </w:rPr>
        <w:t>一方面，应进一步鼓励优势产业企业、传统外贸企业发展跨境电商，培育跨境电商龙头分销企业，积极打造跨境电商柔性供应链，支持跨境电商DTC模式落地，持续推动跨境电商零售出口业务常态化运行，大力发展跨境电商B2B出口、海外仓出口等模式，做大产业规模。另一方面，应大力吸引跨境电商物流头部企业进驻，特别是积极引入海外仓企业，鼓励扩大海外仓布局，打通通往海外的最后一公里。</w:t>
      </w:r>
    </w:p>
    <w:p w14:paraId="31D9D9FD">
      <w:pPr>
        <w:pStyle w:val="12"/>
        <w:spacing w:beforeAutospacing="0" w:afterAutospacing="0" w:line="440" w:lineRule="exact"/>
        <w:ind w:firstLine="562"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lang w:val="en-US" w:eastAsia="zh-CN"/>
        </w:rPr>
        <w:t>2、联动合作，大力拓展跨境电商物流通道</w:t>
      </w:r>
      <w:r>
        <w:rPr>
          <w:rFonts w:hint="eastAsia" w:asciiTheme="minorEastAsia" w:hAnsiTheme="minorEastAsia" w:eastAsiaTheme="minorEastAsia" w:cstheme="minorEastAsia"/>
          <w:b/>
          <w:sz w:val="28"/>
          <w:szCs w:val="28"/>
        </w:rPr>
        <w:t>：</w:t>
      </w:r>
      <w:r>
        <w:rPr>
          <w:rFonts w:hint="eastAsia" w:asciiTheme="minorEastAsia" w:hAnsiTheme="minorEastAsia" w:eastAsiaTheme="minorEastAsia" w:cstheme="minorEastAsia"/>
          <w:bCs/>
          <w:sz w:val="28"/>
          <w:szCs w:val="28"/>
          <w:lang w:val="en-US" w:eastAsia="zh-CN"/>
        </w:rPr>
        <w:t>加强省内主要空港、海港以及国内发达口岸的联动合作，积极对接周边航空口岸货运包机资源，引进国际物流、货代企业，降低跨境电商物流成本，提升国际物流货运保障能力。</w:t>
      </w:r>
    </w:p>
    <w:p w14:paraId="23ADB663">
      <w:pPr>
        <w:pStyle w:val="12"/>
        <w:spacing w:beforeAutospacing="0" w:afterAutospacing="0" w:line="440" w:lineRule="exact"/>
        <w:ind w:firstLine="562" w:firstLineChars="200"/>
        <w:rPr>
          <w:rFonts w:hint="eastAsia" w:asciiTheme="minorEastAsia" w:hAnsiTheme="minorEastAsia" w:eastAsiaTheme="minorEastAsia" w:cstheme="minorEastAsia"/>
          <w:kern w:val="2"/>
          <w:sz w:val="28"/>
          <w:szCs w:val="28"/>
        </w:rPr>
      </w:pPr>
      <w:r>
        <w:rPr>
          <w:rFonts w:hint="eastAsia" w:asciiTheme="minorEastAsia" w:hAnsiTheme="minorEastAsia" w:eastAsiaTheme="minorEastAsia" w:cstheme="minorEastAsia"/>
          <w:b/>
          <w:sz w:val="28"/>
          <w:szCs w:val="28"/>
          <w:lang w:val="en-US" w:eastAsia="zh-CN"/>
        </w:rPr>
        <w:t>3、全面提升跨境电商金融服务</w:t>
      </w:r>
      <w:r>
        <w:rPr>
          <w:rFonts w:hint="eastAsia" w:asciiTheme="minorEastAsia" w:hAnsiTheme="minorEastAsia" w:eastAsiaTheme="minorEastAsia" w:cstheme="minorEastAsia"/>
          <w:b/>
          <w:sz w:val="28"/>
          <w:szCs w:val="28"/>
        </w:rPr>
        <w:t>：</w:t>
      </w:r>
      <w:r>
        <w:rPr>
          <w:rFonts w:hint="eastAsia" w:asciiTheme="minorEastAsia" w:hAnsiTheme="minorEastAsia" w:eastAsiaTheme="minorEastAsia" w:cstheme="minorEastAsia"/>
          <w:kern w:val="2"/>
          <w:sz w:val="28"/>
          <w:szCs w:val="28"/>
        </w:rPr>
        <w:t>鼓励银行在跨境电商新业态中继续积极探索，创新跨境电商融资模式，打造跨境电商客群生态链，践行普惠金融战略，用跨境电商新产品新模式解决跨境电商行业痛点问题。</w:t>
      </w:r>
    </w:p>
    <w:p w14:paraId="3950A2A2">
      <w:pPr>
        <w:pStyle w:val="12"/>
        <w:spacing w:beforeAutospacing="0" w:afterAutospacing="0" w:line="440" w:lineRule="exact"/>
        <w:ind w:firstLine="562" w:firstLineChars="200"/>
        <w:rPr>
          <w:rFonts w:hint="default" w:asciiTheme="minorEastAsia" w:hAnsiTheme="minorEastAsia" w:eastAsiaTheme="minorEastAsia" w:cstheme="minorEastAsia"/>
          <w:b/>
          <w:sz w:val="28"/>
          <w:szCs w:val="28"/>
          <w:lang w:val="en-US" w:eastAsia="zh-CN"/>
        </w:rPr>
      </w:pPr>
      <w:r>
        <w:rPr>
          <w:rFonts w:hint="eastAsia" w:asciiTheme="minorEastAsia" w:hAnsiTheme="minorEastAsia" w:eastAsiaTheme="minorEastAsia" w:cstheme="minorEastAsia"/>
          <w:b/>
          <w:sz w:val="28"/>
          <w:szCs w:val="28"/>
          <w:lang w:val="en-US" w:eastAsia="zh-CN"/>
        </w:rPr>
        <w:t>4、市场导向，多措并举推进人才队伍建设：</w:t>
      </w:r>
      <w:r>
        <w:rPr>
          <w:rFonts w:hint="eastAsia" w:asciiTheme="minorEastAsia" w:hAnsiTheme="minorEastAsia" w:eastAsiaTheme="minorEastAsia" w:cstheme="minorEastAsia"/>
          <w:kern w:val="2"/>
          <w:sz w:val="28"/>
          <w:szCs w:val="28"/>
          <w:lang w:val="en-US" w:eastAsia="zh-CN"/>
        </w:rPr>
        <w:t>一是要加强跨境电商人才引进培育，二是要建立跨境电商人才服务体系。以市场需求为导向，引入专业培训机构，推行定制式、公司式等孵化模式，进一步完善跨境电子商务人才培训机制，为跨境电商企业输送创新型人才和技能实干型人才。加强政府、高校与行业协会、企业合作，构建政府、学校、社会、企业多方联动的跨境电商跨境电商专业化、社会化、国际化的人才培养体系。鼓励专业机构、行业协会、院校、园区、企业等主体联合开展跨境电商专业沙龙、论坛、展会、竞赛、培训等活动。积极搭建人才对接平台，完善跨境电商人才吸引、培养、使用、流动和激励机制，健全专业化、国际化的人才市场服务保障。</w:t>
      </w:r>
    </w:p>
    <w:p w14:paraId="2E00530A">
      <w:pPr>
        <w:pStyle w:val="12"/>
        <w:spacing w:beforeAutospacing="0" w:afterAutospacing="0" w:line="440" w:lineRule="exact"/>
        <w:ind w:firstLine="562" w:firstLineChars="200"/>
        <w:rPr>
          <w:rFonts w:hint="eastAsia" w:asciiTheme="minorEastAsia" w:hAnsiTheme="minorEastAsia" w:eastAsiaTheme="minorEastAsia" w:cstheme="minorEastAsia"/>
          <w:b/>
          <w:sz w:val="28"/>
          <w:szCs w:val="28"/>
        </w:rPr>
      </w:pPr>
      <w:bookmarkStart w:id="3" w:name="OLE_LINK2"/>
      <w:r>
        <w:rPr>
          <w:rFonts w:hint="eastAsia" w:asciiTheme="minorEastAsia" w:hAnsiTheme="minorEastAsia" w:eastAsiaTheme="minorEastAsia" w:cstheme="minorEastAsia"/>
          <w:b/>
          <w:sz w:val="28"/>
          <w:szCs w:val="28"/>
          <w:lang w:eastAsia="zh-CN"/>
        </w:rPr>
        <w:t>（</w:t>
      </w:r>
      <w:r>
        <w:rPr>
          <w:rFonts w:hint="eastAsia" w:asciiTheme="minorEastAsia" w:hAnsiTheme="minorEastAsia" w:eastAsiaTheme="minorEastAsia" w:cstheme="minorEastAsia"/>
          <w:b/>
          <w:sz w:val="28"/>
          <w:szCs w:val="28"/>
          <w:lang w:val="en-US" w:eastAsia="zh-CN"/>
        </w:rPr>
        <w:t>四</w:t>
      </w:r>
      <w:r>
        <w:rPr>
          <w:rFonts w:hint="eastAsia" w:asciiTheme="minorEastAsia" w:hAnsiTheme="minorEastAsia" w:eastAsiaTheme="minorEastAsia" w:cstheme="minorEastAsia"/>
          <w:b/>
          <w:sz w:val="28"/>
          <w:szCs w:val="28"/>
          <w:lang w:eastAsia="zh-CN"/>
        </w:rPr>
        <w:t>）</w:t>
      </w:r>
      <w:r>
        <w:rPr>
          <w:rFonts w:hint="eastAsia" w:asciiTheme="minorEastAsia" w:hAnsiTheme="minorEastAsia" w:eastAsiaTheme="minorEastAsia" w:cstheme="minorEastAsia"/>
          <w:b/>
          <w:sz w:val="28"/>
          <w:szCs w:val="28"/>
        </w:rPr>
        <w:t>提高项目实施单位绩效自评质量</w:t>
      </w:r>
    </w:p>
    <w:bookmarkEnd w:id="3"/>
    <w:p w14:paraId="6B2EF499">
      <w:pPr>
        <w:pStyle w:val="12"/>
        <w:spacing w:beforeAutospacing="0" w:afterAutospacing="0" w:line="44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依据龙岩高新区（经开区）财政金融局关于开展跨境电商生态圈费用项目绩效评价工作的通知，项目单位开展自评，分析项目资金的使用绩效和存在的问题，提出改善资金管理的意见和建议，形成综合书面材料。</w:t>
      </w:r>
    </w:p>
    <w:p w14:paraId="710B3C71">
      <w:pPr>
        <w:pStyle w:val="12"/>
        <w:spacing w:beforeAutospacing="0" w:afterAutospacing="0" w:line="44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首先，加强学习，提高评价水平。</w:t>
      </w:r>
      <w:r>
        <w:rPr>
          <w:rFonts w:hint="eastAsia" w:asciiTheme="minorEastAsia" w:hAnsiTheme="minorEastAsia" w:eastAsiaTheme="minorEastAsia" w:cstheme="minorEastAsia"/>
          <w:sz w:val="28"/>
          <w:szCs w:val="28"/>
          <w:lang w:val="en-US" w:eastAsia="zh-CN"/>
        </w:rPr>
        <w:t>运营管理</w:t>
      </w:r>
      <w:r>
        <w:rPr>
          <w:rFonts w:hint="eastAsia" w:asciiTheme="minorEastAsia" w:hAnsiTheme="minorEastAsia" w:eastAsiaTheme="minorEastAsia" w:cstheme="minorEastAsia"/>
          <w:sz w:val="28"/>
          <w:szCs w:val="28"/>
        </w:rPr>
        <w:t>人员参与财政绩效评价工作相对滞后，政策理解认识不到位，绩效评价理论知识较薄弱，需要与时俱进更新相关政策法规及绩效评价理论水平，增强评价意识、理念，提高绩效评价工作的质量、效益。</w:t>
      </w:r>
    </w:p>
    <w:p w14:paraId="77D962A7">
      <w:pPr>
        <w:pStyle w:val="12"/>
        <w:spacing w:beforeAutospacing="0" w:afterAutospacing="0" w:line="44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其次，领导重视，强化责任意识。财政支出“重分配，轻效果”已成为过去时，绩效评价是政府绩效管理的一项基本制度，消除走形式观念，领导挂帅、各部门通力合作，认真调查、收集、整理、分析项目的有关资料，方能对项目实施过程和结果进行深入评价，全面深入反映项目产生的效益、存在的问题，及对后续的工作提出合理建议。</w:t>
      </w:r>
    </w:p>
    <w:p w14:paraId="64E8B73C">
      <w:pPr>
        <w:pStyle w:val="12"/>
        <w:spacing w:beforeAutospacing="0" w:afterAutospacing="0" w:line="440" w:lineRule="exact"/>
        <w:ind w:firstLine="562" w:firstLineChars="20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六、说明</w:t>
      </w:r>
    </w:p>
    <w:p w14:paraId="551696BE">
      <w:pPr>
        <w:spacing w:line="440" w:lineRule="exact"/>
        <w:ind w:firstLine="560" w:firstLineChars="200"/>
        <w:rPr>
          <w:rFonts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本绩效评价工作是依据项目实施单位提供的被评价项目的各项基础资料，各项评价基础资料的真实性和完整性由被评价项目所在单位负责。评价工作组运用适当的评价方法，保证这次评价工作全程的客观性和独立性。</w:t>
      </w:r>
    </w:p>
    <w:p w14:paraId="4F6F3712">
      <w:pPr>
        <w:spacing w:line="440" w:lineRule="exact"/>
        <w:rPr>
          <w:rFonts w:hint="eastAsia" w:asciiTheme="minorEastAsia" w:hAnsiTheme="minorEastAsia" w:eastAsiaTheme="minorEastAsia" w:cstheme="minorEastAsia"/>
          <w:sz w:val="28"/>
          <w:szCs w:val="28"/>
        </w:rPr>
      </w:pPr>
    </w:p>
    <w:p w14:paraId="5754A3FC">
      <w:pPr>
        <w:spacing w:line="440" w:lineRule="exac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附件</w:t>
      </w:r>
      <w:r>
        <w:rPr>
          <w:rFonts w:hint="eastAsia"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pacing w:val="-4"/>
          <w:sz w:val="28"/>
          <w:szCs w:val="28"/>
          <w:lang w:eastAsia="zh-CN"/>
        </w:rPr>
        <w:t>龙岩跨境电商生态圈</w:t>
      </w:r>
      <w:r>
        <w:rPr>
          <w:rFonts w:hint="eastAsia" w:asciiTheme="minorEastAsia" w:hAnsiTheme="minorEastAsia" w:eastAsiaTheme="minorEastAsia" w:cstheme="minorEastAsia"/>
          <w:spacing w:val="-4"/>
          <w:sz w:val="28"/>
          <w:szCs w:val="28"/>
        </w:rPr>
        <w:t>资金使用绩效评价指标评分表</w:t>
      </w:r>
    </w:p>
    <w:p w14:paraId="7F906D91">
      <w:pPr>
        <w:spacing w:line="440" w:lineRule="exact"/>
        <w:ind w:firstLine="660" w:firstLineChars="236"/>
        <w:rPr>
          <w:rFonts w:asciiTheme="minorEastAsia" w:hAnsiTheme="minorEastAsia" w:eastAsiaTheme="minorEastAsia" w:cstheme="minorEastAsia"/>
          <w:sz w:val="28"/>
          <w:szCs w:val="28"/>
        </w:rPr>
      </w:pPr>
    </w:p>
    <w:p w14:paraId="38FD0EF5">
      <w:pPr>
        <w:spacing w:line="440" w:lineRule="exact"/>
        <w:ind w:firstLine="660" w:firstLineChars="236"/>
        <w:rPr>
          <w:rFonts w:hint="eastAsia" w:asciiTheme="minorEastAsia" w:hAnsiTheme="minorEastAsia" w:eastAsiaTheme="minorEastAsia" w:cstheme="minorEastAsia"/>
          <w:sz w:val="28"/>
          <w:szCs w:val="28"/>
        </w:rPr>
      </w:pPr>
    </w:p>
    <w:p w14:paraId="10BB9780">
      <w:pPr>
        <w:spacing w:line="440" w:lineRule="exact"/>
        <w:ind w:firstLine="660" w:firstLineChars="23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 xml:space="preserve">   龙岩正易联合会计师事务所（普通合伙）</w:t>
      </w:r>
    </w:p>
    <w:p w14:paraId="1529FA4B">
      <w:pPr>
        <w:tabs>
          <w:tab w:val="left" w:pos="8931"/>
        </w:tabs>
        <w:spacing w:line="440" w:lineRule="exact"/>
        <w:ind w:firstLine="560" w:firstLineChars="200"/>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sz w:val="28"/>
          <w:szCs w:val="28"/>
        </w:rPr>
        <w:t xml:space="preserve">                                20</w:t>
      </w:r>
      <w:r>
        <w:rPr>
          <w:rFonts w:hint="eastAsia" w:asciiTheme="minorEastAsia" w:hAnsiTheme="minorEastAsia" w:eastAsiaTheme="minorEastAsia" w:cstheme="minorEastAsia"/>
          <w:sz w:val="28"/>
          <w:szCs w:val="28"/>
          <w:lang w:val="en-US" w:eastAsia="zh-CN"/>
        </w:rPr>
        <w:t>24</w:t>
      </w:r>
      <w:r>
        <w:rPr>
          <w:rFonts w:hint="eastAsia" w:asciiTheme="minorEastAsia" w:hAnsiTheme="minorEastAsia" w:eastAsiaTheme="minorEastAsia" w:cstheme="minorEastAsia"/>
          <w:sz w:val="28"/>
          <w:szCs w:val="28"/>
        </w:rPr>
        <w:t>年1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lang w:val="en-US" w:eastAsia="zh-CN"/>
        </w:rPr>
        <w:t>15</w:t>
      </w:r>
      <w:r>
        <w:rPr>
          <w:rFonts w:hint="eastAsia" w:asciiTheme="minorEastAsia" w:hAnsiTheme="minorEastAsia" w:eastAsiaTheme="minorEastAsia" w:cstheme="minorEastAsia"/>
          <w:sz w:val="28"/>
          <w:szCs w:val="28"/>
        </w:rPr>
        <w:t>日</w:t>
      </w:r>
    </w:p>
    <w:sectPr>
      <w:headerReference r:id="rId8" w:type="first"/>
      <w:footerReference r:id="rId10" w:type="first"/>
      <w:footerReference r:id="rId9" w:type="default"/>
      <w:pgSz w:w="11906" w:h="16838"/>
      <w:pgMar w:top="1440" w:right="1803" w:bottom="1440" w:left="1803" w:header="1134" w:footer="1134"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monospace">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mes">
    <w:altName w:val="Times New Roman"/>
    <w:panose1 w:val="00000000000000000000"/>
    <w:charset w:val="00"/>
    <w:family w:val="auto"/>
    <w:pitch w:val="default"/>
    <w:sig w:usb0="00000000" w:usb1="00000000" w:usb2="00000008" w:usb3="00000000" w:csb0="0000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C9BE3">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C7714">
    <w:pPr>
      <w:pStyle w:val="8"/>
      <w:rPr>
        <w:sz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2D30F">
    <w:pPr>
      <w:pStyle w:val="8"/>
      <w:rPr>
        <w:sz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CF237">
    <w:pPr>
      <w:pStyle w:val="8"/>
      <w:rPr>
        <w:sz w:val="21"/>
      </w:rPr>
    </w:pPr>
    <w:r>
      <w:rPr>
        <w:sz w:val="21"/>
      </w:rPr>
      <w:pict>
        <v:shape id="_x0000_s4100" o:spid="_x0000_s4100"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1.25pt" joinstyle="miter"/>
          <v:imagedata o:title=""/>
          <o:lock v:ext="edit"/>
          <v:textbox inset="0mm,0mm,0mm,0mm" style="mso-fit-shape-to-text:t;">
            <w:txbxContent>
              <w:p w14:paraId="41407F67">
                <w:pPr>
                  <w:pStyle w:val="8"/>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EAF61">
    <w:pPr>
      <w:pStyle w:val="8"/>
      <w:rPr>
        <w:sz w:val="21"/>
      </w:rPr>
    </w:pPr>
    <w:r>
      <w:rPr>
        <w:sz w:val="21"/>
      </w:rPr>
      <w:pict>
        <v:shape id="_x0000_s4099" o:spid="_x0000_s409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1.25pt" joinstyle="miter"/>
          <v:imagedata o:title=""/>
          <o:lock v:ext="edit"/>
          <v:textbox inset="0mm,0mm,0mm,0mm" style="mso-fit-shape-to-text:t;">
            <w:txbxContent>
              <w:p w14:paraId="359AAD13">
                <w:pPr>
                  <w:pStyle w:val="8"/>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597F1">
    <w:pPr>
      <w:pStyle w:val="9"/>
      <w:pBdr>
        <w:bottom w:val="none" w:color="auto" w:sz="0" w:space="0"/>
      </w:pBdr>
      <w:tabs>
        <w:tab w:val="right" w:pos="8715"/>
        <w:tab w:val="clear" w:pos="8306"/>
      </w:tabs>
      <w:jc w:val="both"/>
      <w:rPr>
        <w:rFonts w:ascii="楷体_GB2312" w:eastAsia="楷体_GB2312"/>
        <w:b/>
        <w:color w:val="008080"/>
        <w:sz w:val="21"/>
        <w:szCs w:val="21"/>
      </w:rPr>
    </w:pPr>
    <w:r>
      <w:rPr>
        <w:rFonts w:ascii="楷体_GB2312" w:eastAsia="楷体_GB2312"/>
        <w:b/>
        <w:color w:val="000080"/>
        <w:sz w:val="21"/>
        <w:szCs w:val="21"/>
      </w:rPr>
      <w:pict>
        <v:shape id="_x0000_i1026" o:spt="75" type="#_x0000_t75" style="height:27.6pt;width:30.95pt;" filled="f" o:preferrelative="t" stroked="f" coordsize="21600,21600">
          <v:path/>
          <v:fill on="f" focussize="0,0"/>
          <v:stroke on="f" joinstyle="miter"/>
          <v:imagedata r:id="rId1" o:title=""/>
          <o:lock v:ext="edit" aspectratio="t"/>
          <w10:wrap type="none"/>
          <w10:anchorlock/>
        </v:shape>
      </w:pict>
    </w:r>
    <w:r>
      <w:rPr>
        <w:rFonts w:hint="eastAsia" w:ascii="楷体_GB2312" w:eastAsia="楷体_GB2312"/>
        <w:b/>
        <w:color w:val="000080"/>
        <w:sz w:val="21"/>
        <w:szCs w:val="21"/>
      </w:rPr>
      <w:t xml:space="preserve">龙岩正易联合会计师事务所(普通合伙)  </w:t>
    </w:r>
  </w:p>
  <w:p w14:paraId="02DBD14D">
    <w:pPr>
      <w:pStyle w:val="9"/>
      <w:pBdr>
        <w:bottom w:val="none" w:color="auto" w:sz="0" w:space="0"/>
      </w:pBdr>
      <w:tabs>
        <w:tab w:val="right" w:pos="8715"/>
        <w:tab w:val="clear" w:pos="8306"/>
      </w:tabs>
      <w:ind w:firstLine="1153" w:firstLineChars="641"/>
      <w:jc w:val="right"/>
      <w:rPr>
        <w:rFonts w:ascii="楷体_GB2312" w:eastAsia="楷体_GB2312"/>
        <w:b/>
        <w:color w:val="008080"/>
        <w:sz w:val="15"/>
        <w:szCs w:val="15"/>
      </w:rPr>
    </w:pPr>
    <w:r>
      <w:pict>
        <v:line id="_x0000_s4097" o:spid="_x0000_s4097" o:spt="20" style="position:absolute;left:0pt;margin-left:0.9pt;margin-top:1.2pt;height:0.05pt;width:433.1pt;z-index:251659264;mso-width-relative:page;mso-height-relative:page;" o:preferrelative="t" stroked="t" coordsize="21600,21600">
          <v:path arrowok="t"/>
          <v:fill focussize="0,0"/>
          <v:stroke color="#33CCCC" miterlimit="2"/>
          <v:imagedata o:title=""/>
          <o:lock v:ext="edit"/>
        </v:lin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4470A">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A3683">
    <w:pPr>
      <w:pStyle w:val="9"/>
      <w:pBdr>
        <w:bottom w:val="none" w:color="auto" w:sz="0" w:space="0"/>
      </w:pBdr>
      <w:tabs>
        <w:tab w:val="right" w:pos="5670"/>
        <w:tab w:val="clear" w:pos="8306"/>
      </w:tabs>
      <w:spacing w:line="600" w:lineRule="exact"/>
      <w:jc w:val="left"/>
      <w:rPr>
        <w:rFonts w:eastAsia="楷体_GB2312"/>
        <w:b/>
        <w:spacing w:val="40"/>
        <w:sz w:val="16"/>
        <w:szCs w:val="16"/>
      </w:rPr>
    </w:pPr>
    <w:r>
      <w:rPr>
        <w:rFonts w:hint="eastAsia" w:ascii="楷体_GB2312" w:hAnsi="Times" w:eastAsia="楷体_GB2312"/>
        <w:b/>
        <w:color w:val="000080"/>
        <w:spacing w:val="-20"/>
        <w:sz w:val="28"/>
        <w:szCs w:val="28"/>
      </w:rPr>
      <w:drawing>
        <wp:inline distT="0" distB="0" distL="114300" distR="114300">
          <wp:extent cx="390525" cy="342900"/>
          <wp:effectExtent l="0" t="0" r="9525" b="0"/>
          <wp:docPr id="1" name="图片 3"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未命名"/>
                  <pic:cNvPicPr>
                    <a:picLocks noChangeAspect="1"/>
                  </pic:cNvPicPr>
                </pic:nvPicPr>
                <pic:blipFill>
                  <a:blip r:embed="rId1"/>
                  <a:stretch>
                    <a:fillRect/>
                  </a:stretch>
                </pic:blipFill>
                <pic:spPr>
                  <a:xfrm>
                    <a:off x="0" y="0"/>
                    <a:ext cx="390525" cy="342900"/>
                  </a:xfrm>
                  <a:prstGeom prst="rect">
                    <a:avLst/>
                  </a:prstGeom>
                  <a:noFill/>
                  <a:ln>
                    <a:noFill/>
                  </a:ln>
                </pic:spPr>
              </pic:pic>
            </a:graphicData>
          </a:graphic>
        </wp:inline>
      </w:drawing>
    </w:r>
    <w:r>
      <w:rPr>
        <w:rFonts w:hint="eastAsia" w:ascii="楷体_GB2312" w:hAnsi="Times" w:eastAsia="楷体_GB2312"/>
        <w:b/>
        <w:spacing w:val="-12"/>
        <w:sz w:val="26"/>
        <w:szCs w:val="26"/>
      </w:rPr>
      <w:t>龙岩正易联合会计师事务所（普通合伙）</w:t>
    </w:r>
    <w:r>
      <w:rPr>
        <w:rFonts w:eastAsia="楷体_GB2312"/>
        <w:b/>
        <w:spacing w:val="40"/>
        <w:sz w:val="13"/>
      </w:rPr>
      <w:t xml:space="preserve"> </w:t>
    </w:r>
    <w:r>
      <w:rPr>
        <w:rFonts w:ascii="Arial" w:hAnsi="Arial" w:cs="Arial"/>
        <w:spacing w:val="-16"/>
        <w:kern w:val="0"/>
        <w:sz w:val="16"/>
        <w:szCs w:val="16"/>
      </w:rPr>
      <w:t>ZHENG YI JOINT ACCOUNTING</w:t>
    </w:r>
    <w:r>
      <w:rPr>
        <w:rFonts w:hint="eastAsia" w:eastAsia="楷体_GB2312"/>
        <w:b/>
        <w:spacing w:val="-16"/>
        <w:sz w:val="16"/>
        <w:szCs w:val="16"/>
      </w:rPr>
      <w:t xml:space="preserve"> </w:t>
    </w:r>
    <w:r>
      <w:rPr>
        <w:rFonts w:ascii="Arial" w:hAnsi="Arial" w:cs="Arial"/>
        <w:spacing w:val="-16"/>
        <w:kern w:val="0"/>
        <w:sz w:val="16"/>
        <w:szCs w:val="16"/>
      </w:rPr>
      <w:t>FIRM OF LONGYAN</w:t>
    </w:r>
  </w:p>
  <w:p w14:paraId="53F9161D">
    <w:pPr>
      <w:pStyle w:val="9"/>
      <w:pBdr>
        <w:bottom w:val="none" w:color="auto" w:sz="0" w:space="0"/>
      </w:pBdr>
      <w:spacing w:line="260" w:lineRule="exact"/>
      <w:jc w:val="left"/>
      <w:rPr>
        <w:rFonts w:ascii="Arial" w:hAnsi="Arial" w:cs="Arial"/>
        <w:kern w:val="0"/>
      </w:rPr>
    </w:pPr>
    <w:r>
      <w:rPr>
        <w:rFonts w:hint="eastAsia"/>
      </w:rPr>
      <w:t>地址</w:t>
    </w:r>
    <w:r>
      <w:t>(Add)</w:t>
    </w:r>
    <w:r>
      <w:rPr>
        <w:rFonts w:hint="eastAsia"/>
      </w:rPr>
      <w:t>：</w:t>
    </w:r>
    <w:r>
      <w:rPr>
        <w:rFonts w:hint="eastAsia"/>
        <w:spacing w:val="-20"/>
      </w:rPr>
      <w:t>福建省龙岩市</w:t>
    </w:r>
    <w:r>
      <w:rPr>
        <w:spacing w:val="-20"/>
      </w:rPr>
      <w:t>龙岩经济技术开发区龙腾南路14号珠江大厦1501室</w:t>
    </w:r>
    <w:r>
      <w:rPr>
        <w:rFonts w:hint="eastAsia"/>
        <w:spacing w:val="-10"/>
      </w:rPr>
      <w:t xml:space="preserve"> </w:t>
    </w:r>
    <w:r>
      <w:rPr>
        <w:rFonts w:hint="eastAsia" w:ascii="Arial" w:hAnsi="Arial" w:cs="Arial"/>
        <w:kern w:val="0"/>
      </w:rPr>
      <w:t xml:space="preserve"> </w:t>
    </w:r>
    <w:r>
      <w:rPr>
        <w:rFonts w:ascii="Arial" w:hAnsi="Arial" w:cs="Arial"/>
        <w:kern w:val="0"/>
      </w:rPr>
      <w:t>Add</w:t>
    </w:r>
    <w:r>
      <w:rPr>
        <w:rFonts w:hint="eastAsia" w:ascii="Arial" w:hAnsi="Arial" w:cs="Arial"/>
        <w:kern w:val="0"/>
      </w:rPr>
      <w:t>：</w:t>
    </w:r>
    <w:r>
      <w:rPr>
        <w:rFonts w:ascii="Arial" w:hAnsi="Arial" w:cs="Arial"/>
        <w:kern w:val="0"/>
      </w:rPr>
      <w:t>Unit 1501 Zhujiangdasha, Longyan</w:t>
    </w:r>
  </w:p>
  <w:p w14:paraId="4D664F65">
    <w:pPr>
      <w:pStyle w:val="9"/>
      <w:pBdr>
        <w:bottom w:val="none" w:color="auto" w:sz="0" w:space="0"/>
      </w:pBdr>
      <w:spacing w:line="260" w:lineRule="exact"/>
      <w:jc w:val="left"/>
      <w:rPr>
        <w:rFonts w:ascii="Arial" w:hAnsi="Arial" w:cs="Arial"/>
        <w:kern w:val="0"/>
      </w:rPr>
    </w:pPr>
    <w:r>
      <w:rPr>
        <w:rFonts w:hint="eastAsia"/>
      </w:rPr>
      <w:t>电话（</w:t>
    </w:r>
    <w:r>
      <w:t>Tel</w:t>
    </w:r>
    <w:r>
      <w:rPr>
        <w:rFonts w:hint="eastAsia"/>
      </w:rPr>
      <w:t>）：（</w:t>
    </w:r>
    <w:r>
      <w:t>059</w:t>
    </w:r>
    <w:r>
      <w:rPr>
        <w:rFonts w:hint="eastAsia"/>
      </w:rPr>
      <w:t>7）28</w:t>
    </w:r>
    <w:r>
      <w:t>5</w:t>
    </w:r>
    <w:r>
      <w:rPr>
        <w:rFonts w:hint="eastAsia"/>
      </w:rPr>
      <w:t>811</w:t>
    </w:r>
    <w:r>
      <w:t>8</w:t>
    </w:r>
    <w:r>
      <w:rPr>
        <w:rFonts w:ascii="Arial" w:hAnsi="Arial" w:cs="Arial"/>
        <w:kern w:val="0"/>
      </w:rPr>
      <w:t xml:space="preserve">  </w:t>
    </w:r>
    <w:r>
      <w:rPr>
        <w:rFonts w:hint="eastAsia" w:ascii="Arial" w:hAnsi="Arial" w:cs="Arial"/>
        <w:kern w:val="0"/>
      </w:rPr>
      <w:t xml:space="preserve"> </w:t>
    </w:r>
    <w:r>
      <w:rPr>
        <w:rFonts w:ascii="Arial" w:hAnsi="Arial" w:cs="Arial"/>
        <w:kern w:val="0"/>
      </w:rPr>
      <w:t xml:space="preserve">                                 </w:t>
    </w:r>
    <w:r>
      <w:rPr>
        <w:rFonts w:ascii="Arial" w:hAnsi="Arial" w:cs="Arial"/>
        <w:spacing w:val="-10"/>
        <w:kern w:val="0"/>
      </w:rPr>
      <w:t>Economic-Technological Development</w:t>
    </w:r>
  </w:p>
  <w:p w14:paraId="00291BE4">
    <w:pPr>
      <w:pStyle w:val="9"/>
      <w:pBdr>
        <w:bottom w:val="none" w:color="auto" w:sz="0" w:space="0"/>
      </w:pBdr>
      <w:spacing w:line="260" w:lineRule="exact"/>
      <w:jc w:val="left"/>
    </w:pPr>
    <w:r>
      <w:rPr>
        <w:rFonts w:hint="eastAsia"/>
      </w:rPr>
      <w:t>传真（</w:t>
    </w:r>
    <w:r>
      <w:t>Fax</w:t>
    </w:r>
    <w:r>
      <w:rPr>
        <w:rFonts w:hint="eastAsia"/>
      </w:rPr>
      <w:t>）：（</w:t>
    </w:r>
    <w:r>
      <w:t>059</w:t>
    </w:r>
    <w:r>
      <w:rPr>
        <w:rFonts w:hint="eastAsia"/>
      </w:rPr>
      <w:t>7）282811</w:t>
    </w:r>
    <w:r>
      <w:t>8</w:t>
    </w:r>
    <w:r>
      <w:rPr>
        <w:rFonts w:hint="eastAsia"/>
      </w:rPr>
      <w:t xml:space="preserve"> </w:t>
    </w:r>
    <w:r>
      <w:t xml:space="preserve">                                   </w:t>
    </w:r>
    <w:r>
      <w:rPr>
        <w:rFonts w:ascii="Arial" w:hAnsi="Arial" w:cs="Arial"/>
        <w:kern w:val="0"/>
      </w:rPr>
      <w:t>Zone, 14 Longteng  South  Road,</w:t>
    </w:r>
  </w:p>
  <w:p w14:paraId="5BF4EFFC">
    <w:pPr>
      <w:pStyle w:val="9"/>
      <w:pBdr>
        <w:bottom w:val="none" w:color="auto" w:sz="0" w:space="0"/>
      </w:pBdr>
      <w:spacing w:line="260" w:lineRule="exact"/>
      <w:jc w:val="left"/>
    </w:pPr>
    <w:r>
      <w:rPr>
        <w:rFonts w:hint="eastAsia"/>
      </w:rPr>
      <w:pict>
        <v:line id="_x0000_s4098" o:spid="_x0000_s4098" o:spt="20" style="position:absolute;left:0pt;flip:y;margin-left:-14.9pt;margin-top:13.65pt;height:1.85pt;width:446.4pt;z-index:251662336;mso-width-relative:page;mso-height-relative:page;" filled="f" stroked="t" coordsize="21600,21600">
          <v:path arrowok="t"/>
          <v:fill on="f" focussize="0,0"/>
          <v:stroke color="#33CCCC" imagealignshape="1"/>
          <v:imagedata o:title=""/>
          <o:lock v:ext="edit"/>
          <v:textbox style="layout-flow:vertical-ideographic;"/>
        </v:line>
      </w:pict>
    </w:r>
    <w:r>
      <w:rPr>
        <w:rFonts w:hint="eastAsia"/>
      </w:rPr>
      <w:t>邮箱</w:t>
    </w:r>
    <w:r>
      <w:t>(E-mail)</w:t>
    </w:r>
    <w:r>
      <w:rPr>
        <w:rFonts w:hint="eastAsia"/>
      </w:rPr>
      <w:t>：</w:t>
    </w:r>
    <w:r>
      <w:fldChar w:fldCharType="begin"/>
    </w:r>
    <w:r>
      <w:instrText xml:space="preserve"> HYPERLINK "mailto:</w:instrText>
    </w:r>
    <w:r>
      <w:rPr>
        <w:rFonts w:hint="eastAsia"/>
      </w:rPr>
      <w:instrText xml:space="preserve">lyzycpa</w:instrText>
    </w:r>
    <w:r>
      <w:instrText xml:space="preserve">@163.com" </w:instrText>
    </w:r>
    <w:r>
      <w:fldChar w:fldCharType="separate"/>
    </w:r>
    <w:r>
      <w:rPr>
        <w:rStyle w:val="24"/>
        <w:rFonts w:hint="eastAsia"/>
      </w:rPr>
      <w:t>lyzycpa</w:t>
    </w:r>
    <w:r>
      <w:rPr>
        <w:rStyle w:val="24"/>
      </w:rPr>
      <w:t>@163.com</w:t>
    </w:r>
    <w:r>
      <w:fldChar w:fldCharType="end"/>
    </w:r>
    <w:r>
      <w:rPr>
        <w:rFonts w:ascii="Arial" w:hAnsi="Arial" w:cs="Arial"/>
        <w:kern w:val="0"/>
      </w:rPr>
      <w:t xml:space="preserve">      </w:t>
    </w:r>
    <w:r>
      <w:rPr>
        <w:rFonts w:hint="eastAsia"/>
      </w:rPr>
      <w:t>邮编</w:t>
    </w:r>
    <w:r>
      <w:t xml:space="preserve"> (Post)</w:t>
    </w:r>
    <w:r>
      <w:rPr>
        <w:rFonts w:hint="eastAsia"/>
      </w:rPr>
      <w:t>：</w:t>
    </w:r>
    <w:r>
      <w:t>36</w:t>
    </w:r>
    <w:r>
      <w:rPr>
        <w:rFonts w:hint="eastAsia"/>
      </w:rPr>
      <w:t>4000</w:t>
    </w:r>
    <w:r>
      <w:t xml:space="preserve">          </w:t>
    </w:r>
    <w:r>
      <w:rPr>
        <w:rFonts w:ascii="Arial" w:hAnsi="Arial" w:cs="Arial"/>
        <w:kern w:val="0"/>
      </w:rPr>
      <w:t> Xinluo  District,  Longyan,  Fujian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C8CA5"/>
    <w:multiLevelType w:val="singleLevel"/>
    <w:tmpl w:val="937C8CA5"/>
    <w:lvl w:ilvl="0" w:tentative="0">
      <w:start w:val="1"/>
      <w:numFmt w:val="decimal"/>
      <w:suff w:val="nothing"/>
      <w:lvlText w:val="%1、"/>
      <w:lvlJc w:val="left"/>
    </w:lvl>
  </w:abstractNum>
  <w:abstractNum w:abstractNumId="1">
    <w:nsid w:val="5A0B98F0"/>
    <w:multiLevelType w:val="singleLevel"/>
    <w:tmpl w:val="5A0B98F0"/>
    <w:lvl w:ilvl="0" w:tentative="0">
      <w:start w:val="3"/>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TrackMoves/>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OTRkNThmM2I3NzMyMGE0YWIyZGUyYzBiZGQ2ZGEwYjgifQ=="/>
  </w:docVars>
  <w:rsids>
    <w:rsidRoot w:val="005F7F2C"/>
    <w:rsid w:val="0005210F"/>
    <w:rsid w:val="000634AC"/>
    <w:rsid w:val="000738BA"/>
    <w:rsid w:val="0007397C"/>
    <w:rsid w:val="00074B86"/>
    <w:rsid w:val="000E6254"/>
    <w:rsid w:val="000F10AA"/>
    <w:rsid w:val="00106D94"/>
    <w:rsid w:val="0014511C"/>
    <w:rsid w:val="00216AF2"/>
    <w:rsid w:val="00283292"/>
    <w:rsid w:val="002A044E"/>
    <w:rsid w:val="002A159E"/>
    <w:rsid w:val="00346217"/>
    <w:rsid w:val="00361CF9"/>
    <w:rsid w:val="003B41E6"/>
    <w:rsid w:val="003C0F29"/>
    <w:rsid w:val="003C2920"/>
    <w:rsid w:val="00416F6F"/>
    <w:rsid w:val="00446736"/>
    <w:rsid w:val="00497382"/>
    <w:rsid w:val="004E6EE5"/>
    <w:rsid w:val="004F3E9C"/>
    <w:rsid w:val="005547FE"/>
    <w:rsid w:val="005A0DEF"/>
    <w:rsid w:val="005F7F2C"/>
    <w:rsid w:val="006079BF"/>
    <w:rsid w:val="00616D1C"/>
    <w:rsid w:val="00631215"/>
    <w:rsid w:val="006432AC"/>
    <w:rsid w:val="006A3A49"/>
    <w:rsid w:val="006C3462"/>
    <w:rsid w:val="006E7B8A"/>
    <w:rsid w:val="007F04E4"/>
    <w:rsid w:val="0082416E"/>
    <w:rsid w:val="00831138"/>
    <w:rsid w:val="00837AE9"/>
    <w:rsid w:val="008B116C"/>
    <w:rsid w:val="008B655A"/>
    <w:rsid w:val="008E1FF4"/>
    <w:rsid w:val="008E3611"/>
    <w:rsid w:val="00967C7D"/>
    <w:rsid w:val="009941A4"/>
    <w:rsid w:val="009D1633"/>
    <w:rsid w:val="009E021E"/>
    <w:rsid w:val="00A24147"/>
    <w:rsid w:val="00A86D2D"/>
    <w:rsid w:val="00A9133A"/>
    <w:rsid w:val="00AD1C6C"/>
    <w:rsid w:val="00AD5691"/>
    <w:rsid w:val="00B536A6"/>
    <w:rsid w:val="00BB76D9"/>
    <w:rsid w:val="00BE7390"/>
    <w:rsid w:val="00C34DFC"/>
    <w:rsid w:val="00C55B6E"/>
    <w:rsid w:val="00C609B0"/>
    <w:rsid w:val="00C61552"/>
    <w:rsid w:val="00C67021"/>
    <w:rsid w:val="00CA7FF9"/>
    <w:rsid w:val="00CC2F60"/>
    <w:rsid w:val="00CC5A85"/>
    <w:rsid w:val="00CC61C8"/>
    <w:rsid w:val="00CE6FDB"/>
    <w:rsid w:val="00D6202C"/>
    <w:rsid w:val="00D771CA"/>
    <w:rsid w:val="00D8750C"/>
    <w:rsid w:val="00DB2BDD"/>
    <w:rsid w:val="00DC701A"/>
    <w:rsid w:val="00DC75D9"/>
    <w:rsid w:val="00E2311D"/>
    <w:rsid w:val="00E26291"/>
    <w:rsid w:val="00E51DBD"/>
    <w:rsid w:val="00E9060C"/>
    <w:rsid w:val="00ED49F2"/>
    <w:rsid w:val="00EF6B96"/>
    <w:rsid w:val="00F172A7"/>
    <w:rsid w:val="00FE499D"/>
    <w:rsid w:val="011C653C"/>
    <w:rsid w:val="01A60874"/>
    <w:rsid w:val="01D50B36"/>
    <w:rsid w:val="02204DBF"/>
    <w:rsid w:val="02571C51"/>
    <w:rsid w:val="0289458A"/>
    <w:rsid w:val="02A75687"/>
    <w:rsid w:val="02EB2811"/>
    <w:rsid w:val="039E71F0"/>
    <w:rsid w:val="045E7BD2"/>
    <w:rsid w:val="04B216B2"/>
    <w:rsid w:val="04DB24D9"/>
    <w:rsid w:val="04EF43C3"/>
    <w:rsid w:val="05141C10"/>
    <w:rsid w:val="055F2BCB"/>
    <w:rsid w:val="05674F0A"/>
    <w:rsid w:val="06466906"/>
    <w:rsid w:val="066D5B05"/>
    <w:rsid w:val="069C6B7D"/>
    <w:rsid w:val="07397B77"/>
    <w:rsid w:val="07604480"/>
    <w:rsid w:val="08B717F9"/>
    <w:rsid w:val="08FA3B58"/>
    <w:rsid w:val="08FD3C54"/>
    <w:rsid w:val="09945A1E"/>
    <w:rsid w:val="09AA2136"/>
    <w:rsid w:val="09BB78E5"/>
    <w:rsid w:val="0A0C0B2D"/>
    <w:rsid w:val="0A0D43CF"/>
    <w:rsid w:val="0A3B18E5"/>
    <w:rsid w:val="0AAB2906"/>
    <w:rsid w:val="0ACF3AC0"/>
    <w:rsid w:val="0B077D00"/>
    <w:rsid w:val="0B2A0FB0"/>
    <w:rsid w:val="0BAE21B6"/>
    <w:rsid w:val="0BFC28C3"/>
    <w:rsid w:val="0C4E702C"/>
    <w:rsid w:val="0CA663C1"/>
    <w:rsid w:val="0CAD3604"/>
    <w:rsid w:val="0CF60338"/>
    <w:rsid w:val="0E63755F"/>
    <w:rsid w:val="10142B00"/>
    <w:rsid w:val="10AD0C8E"/>
    <w:rsid w:val="10B63478"/>
    <w:rsid w:val="10C77FA2"/>
    <w:rsid w:val="11673C5E"/>
    <w:rsid w:val="13D5624E"/>
    <w:rsid w:val="13E60E04"/>
    <w:rsid w:val="143E4691"/>
    <w:rsid w:val="14CA6541"/>
    <w:rsid w:val="15046FC3"/>
    <w:rsid w:val="162C08A7"/>
    <w:rsid w:val="168A59B1"/>
    <w:rsid w:val="16F73C9C"/>
    <w:rsid w:val="17077008"/>
    <w:rsid w:val="171D44B6"/>
    <w:rsid w:val="18495740"/>
    <w:rsid w:val="18C354F3"/>
    <w:rsid w:val="19396529"/>
    <w:rsid w:val="19556488"/>
    <w:rsid w:val="1A5E7E51"/>
    <w:rsid w:val="1B34762B"/>
    <w:rsid w:val="1B636B19"/>
    <w:rsid w:val="1CF52467"/>
    <w:rsid w:val="1D2A29B4"/>
    <w:rsid w:val="1D8055A8"/>
    <w:rsid w:val="1E114F52"/>
    <w:rsid w:val="1EA7689F"/>
    <w:rsid w:val="1F255E7E"/>
    <w:rsid w:val="1F355CA5"/>
    <w:rsid w:val="202F4F24"/>
    <w:rsid w:val="20C97CAE"/>
    <w:rsid w:val="21621FE2"/>
    <w:rsid w:val="21DC4477"/>
    <w:rsid w:val="21E7169A"/>
    <w:rsid w:val="22634FA6"/>
    <w:rsid w:val="23A36B96"/>
    <w:rsid w:val="23BF0FC0"/>
    <w:rsid w:val="24B0158D"/>
    <w:rsid w:val="24CB003E"/>
    <w:rsid w:val="25AC694F"/>
    <w:rsid w:val="26020F64"/>
    <w:rsid w:val="273E6015"/>
    <w:rsid w:val="276B2158"/>
    <w:rsid w:val="27D04D81"/>
    <w:rsid w:val="288930EC"/>
    <w:rsid w:val="29322953"/>
    <w:rsid w:val="296E46D7"/>
    <w:rsid w:val="29944FDD"/>
    <w:rsid w:val="2A9874A9"/>
    <w:rsid w:val="2AD77803"/>
    <w:rsid w:val="2B1F1817"/>
    <w:rsid w:val="2D03175C"/>
    <w:rsid w:val="2D885982"/>
    <w:rsid w:val="2F5A21F2"/>
    <w:rsid w:val="2F943D82"/>
    <w:rsid w:val="30542A7D"/>
    <w:rsid w:val="30FC515C"/>
    <w:rsid w:val="31E57DF9"/>
    <w:rsid w:val="333F3312"/>
    <w:rsid w:val="33AE4C72"/>
    <w:rsid w:val="34A675F9"/>
    <w:rsid w:val="34CD3113"/>
    <w:rsid w:val="35000B49"/>
    <w:rsid w:val="35110773"/>
    <w:rsid w:val="355A6AAB"/>
    <w:rsid w:val="35AE6C98"/>
    <w:rsid w:val="363C2C80"/>
    <w:rsid w:val="37703C42"/>
    <w:rsid w:val="37A661F0"/>
    <w:rsid w:val="38E52E0C"/>
    <w:rsid w:val="39463069"/>
    <w:rsid w:val="39470838"/>
    <w:rsid w:val="3A154C8B"/>
    <w:rsid w:val="3A4D0C68"/>
    <w:rsid w:val="3B2D693F"/>
    <w:rsid w:val="3B335251"/>
    <w:rsid w:val="3B876D7C"/>
    <w:rsid w:val="3BBC42F8"/>
    <w:rsid w:val="3C504A40"/>
    <w:rsid w:val="3E474961"/>
    <w:rsid w:val="3E6A7286"/>
    <w:rsid w:val="3E8F7AA2"/>
    <w:rsid w:val="3EB55273"/>
    <w:rsid w:val="3F1F628C"/>
    <w:rsid w:val="3F371A79"/>
    <w:rsid w:val="3F9F51E6"/>
    <w:rsid w:val="3FF271D0"/>
    <w:rsid w:val="40252A7C"/>
    <w:rsid w:val="40477F08"/>
    <w:rsid w:val="407A1CB2"/>
    <w:rsid w:val="4089752E"/>
    <w:rsid w:val="40D7147E"/>
    <w:rsid w:val="415D1A78"/>
    <w:rsid w:val="418C7569"/>
    <w:rsid w:val="42817D70"/>
    <w:rsid w:val="42A258CA"/>
    <w:rsid w:val="42F67E10"/>
    <w:rsid w:val="43016A94"/>
    <w:rsid w:val="43633616"/>
    <w:rsid w:val="43C827E1"/>
    <w:rsid w:val="43C93136"/>
    <w:rsid w:val="44835DA7"/>
    <w:rsid w:val="44D41CD8"/>
    <w:rsid w:val="45BC567F"/>
    <w:rsid w:val="45C04EAF"/>
    <w:rsid w:val="461C7F19"/>
    <w:rsid w:val="46552B5D"/>
    <w:rsid w:val="46C422B2"/>
    <w:rsid w:val="46C43F06"/>
    <w:rsid w:val="472B08D0"/>
    <w:rsid w:val="47550A53"/>
    <w:rsid w:val="48027536"/>
    <w:rsid w:val="48262450"/>
    <w:rsid w:val="482C010F"/>
    <w:rsid w:val="48392EEC"/>
    <w:rsid w:val="48F055E1"/>
    <w:rsid w:val="492B0765"/>
    <w:rsid w:val="49504D39"/>
    <w:rsid w:val="49E36751"/>
    <w:rsid w:val="4A8D388D"/>
    <w:rsid w:val="4B666EEC"/>
    <w:rsid w:val="4D7D3689"/>
    <w:rsid w:val="4E401D51"/>
    <w:rsid w:val="4E402B66"/>
    <w:rsid w:val="4E7F040F"/>
    <w:rsid w:val="4EF770CB"/>
    <w:rsid w:val="4F036112"/>
    <w:rsid w:val="5107331B"/>
    <w:rsid w:val="516552A2"/>
    <w:rsid w:val="518E0BFA"/>
    <w:rsid w:val="52924F8F"/>
    <w:rsid w:val="529A036B"/>
    <w:rsid w:val="52CD718D"/>
    <w:rsid w:val="52D313C9"/>
    <w:rsid w:val="534D6941"/>
    <w:rsid w:val="534E1B64"/>
    <w:rsid w:val="53B457EA"/>
    <w:rsid w:val="53FD5517"/>
    <w:rsid w:val="5402704E"/>
    <w:rsid w:val="547631D2"/>
    <w:rsid w:val="54E05550"/>
    <w:rsid w:val="553D67BB"/>
    <w:rsid w:val="555B7BD3"/>
    <w:rsid w:val="564E739A"/>
    <w:rsid w:val="566118CC"/>
    <w:rsid w:val="581E5313"/>
    <w:rsid w:val="585559D8"/>
    <w:rsid w:val="585F60C4"/>
    <w:rsid w:val="58A82A20"/>
    <w:rsid w:val="599706CE"/>
    <w:rsid w:val="59D65F0B"/>
    <w:rsid w:val="5AC516A5"/>
    <w:rsid w:val="5B094149"/>
    <w:rsid w:val="5C0B6C08"/>
    <w:rsid w:val="5C0C3056"/>
    <w:rsid w:val="5C793003"/>
    <w:rsid w:val="5D250222"/>
    <w:rsid w:val="5D57392A"/>
    <w:rsid w:val="5D7719D5"/>
    <w:rsid w:val="5D867E6A"/>
    <w:rsid w:val="5E2F0501"/>
    <w:rsid w:val="5EFA3657"/>
    <w:rsid w:val="5F6B734F"/>
    <w:rsid w:val="60137710"/>
    <w:rsid w:val="60164585"/>
    <w:rsid w:val="6036205A"/>
    <w:rsid w:val="604F6040"/>
    <w:rsid w:val="60B136D1"/>
    <w:rsid w:val="61025A59"/>
    <w:rsid w:val="615B5A08"/>
    <w:rsid w:val="63462575"/>
    <w:rsid w:val="636D0E5A"/>
    <w:rsid w:val="636F540C"/>
    <w:rsid w:val="64A870DD"/>
    <w:rsid w:val="65051332"/>
    <w:rsid w:val="6576125C"/>
    <w:rsid w:val="662105A7"/>
    <w:rsid w:val="66E64119"/>
    <w:rsid w:val="66F61BBC"/>
    <w:rsid w:val="67386C65"/>
    <w:rsid w:val="68AA537F"/>
    <w:rsid w:val="69E95A08"/>
    <w:rsid w:val="69FE2180"/>
    <w:rsid w:val="6A6A3F4E"/>
    <w:rsid w:val="6AB26742"/>
    <w:rsid w:val="6AE65883"/>
    <w:rsid w:val="6AEA4E10"/>
    <w:rsid w:val="6B044568"/>
    <w:rsid w:val="6B8E1430"/>
    <w:rsid w:val="6BB07FE3"/>
    <w:rsid w:val="6CA642BD"/>
    <w:rsid w:val="6FC27878"/>
    <w:rsid w:val="6FC54955"/>
    <w:rsid w:val="6FDC7828"/>
    <w:rsid w:val="70533B40"/>
    <w:rsid w:val="708C16A4"/>
    <w:rsid w:val="71BF29AE"/>
    <w:rsid w:val="71DA6E34"/>
    <w:rsid w:val="72494906"/>
    <w:rsid w:val="72FF44EF"/>
    <w:rsid w:val="741977E6"/>
    <w:rsid w:val="74566390"/>
    <w:rsid w:val="74784559"/>
    <w:rsid w:val="74DD0860"/>
    <w:rsid w:val="75295853"/>
    <w:rsid w:val="75B1760C"/>
    <w:rsid w:val="761830C9"/>
    <w:rsid w:val="762671CE"/>
    <w:rsid w:val="765014E7"/>
    <w:rsid w:val="76520356"/>
    <w:rsid w:val="76F7181E"/>
    <w:rsid w:val="77FA30D6"/>
    <w:rsid w:val="790B1AEE"/>
    <w:rsid w:val="797C360A"/>
    <w:rsid w:val="7AA558D6"/>
    <w:rsid w:val="7B160C24"/>
    <w:rsid w:val="7B5B2D77"/>
    <w:rsid w:val="7B8B02DD"/>
    <w:rsid w:val="7BAE1F38"/>
    <w:rsid w:val="7CCA4F5D"/>
    <w:rsid w:val="7E002EC9"/>
    <w:rsid w:val="7ECC717E"/>
    <w:rsid w:val="7F7826D8"/>
    <w:rsid w:val="7F9922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99" w:semiHidden="0" w:name="Normal (Web)"/>
    <w:lsdException w:qFormat="1"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qFormat="1" w:unhideWhenUsed="0" w:uiPriority="0" w:semiHidden="0" w:name="HTML Preformatted"/>
    <w:lsdException w:qFormat="1" w:uiPriority="0" w:name="HTML Sample"/>
    <w:lsdException w:qFormat="1" w:uiPriority="0" w:name="HTML Typewriter"/>
    <w:lsdException w:qFormat="1" w:uiPriority="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b/>
      <w:kern w:val="0"/>
      <w:sz w:val="36"/>
      <w:szCs w:val="36"/>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b/>
      <w:kern w:val="0"/>
      <w:sz w:val="27"/>
      <w:szCs w:val="27"/>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46"/>
    <w:qFormat/>
    <w:uiPriority w:val="99"/>
    <w:pPr>
      <w:jc w:val="left"/>
    </w:pPr>
  </w:style>
  <w:style w:type="paragraph" w:styleId="5">
    <w:name w:val="Body Text"/>
    <w:basedOn w:val="1"/>
    <w:link w:val="37"/>
    <w:qFormat/>
    <w:uiPriority w:val="0"/>
    <w:pPr>
      <w:spacing w:after="120"/>
    </w:pPr>
  </w:style>
  <w:style w:type="paragraph" w:styleId="6">
    <w:name w:val="Body Text Indent"/>
    <w:basedOn w:val="1"/>
    <w:qFormat/>
    <w:uiPriority w:val="0"/>
    <w:pPr>
      <w:ind w:firstLine="645"/>
    </w:pPr>
    <w:rPr>
      <w:rFonts w:ascii="仿宋_GB2312" w:eastAsia="仿宋_GB2312"/>
      <w:sz w:val="32"/>
      <w:szCs w:val="20"/>
    </w:r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sz w:val="24"/>
    </w:rPr>
  </w:style>
  <w:style w:type="paragraph" w:styleId="9">
    <w:name w:val="header"/>
    <w:basedOn w:val="1"/>
    <w:link w:val="57"/>
    <w:qFormat/>
    <w:uiPriority w:val="0"/>
    <w:pPr>
      <w:pBdr>
        <w:bottom w:val="single" w:color="auto" w:sz="6" w:space="1"/>
      </w:pBdr>
      <w:tabs>
        <w:tab w:val="center" w:pos="4153"/>
        <w:tab w:val="right" w:pos="8306"/>
      </w:tabs>
      <w:snapToGrid w:val="0"/>
      <w:jc w:val="center"/>
    </w:pPr>
    <w:rPr>
      <w:sz w:val="18"/>
      <w:szCs w:val="18"/>
    </w:rPr>
  </w:style>
  <w:style w:type="paragraph" w:styleId="10">
    <w:name w:val="Subtitle"/>
    <w:basedOn w:val="1"/>
    <w:next w:val="1"/>
    <w:link w:val="45"/>
    <w:qFormat/>
    <w:uiPriority w:val="11"/>
    <w:pPr>
      <w:spacing w:before="240" w:after="60" w:line="312" w:lineRule="auto"/>
      <w:jc w:val="center"/>
      <w:outlineLvl w:val="1"/>
    </w:pPr>
    <w:rPr>
      <w:rFonts w:ascii="Cambria" w:hAnsi="Cambria"/>
      <w:b/>
      <w:bCs/>
      <w:kern w:val="28"/>
      <w:sz w:val="32"/>
      <w:szCs w:val="32"/>
    </w:r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2">
    <w:name w:val="Normal (Web)"/>
    <w:basedOn w:val="1"/>
    <w:qFormat/>
    <w:uiPriority w:val="99"/>
    <w:pPr>
      <w:widowControl/>
      <w:spacing w:before="100" w:beforeAutospacing="1" w:after="100" w:afterAutospacing="1"/>
      <w:jc w:val="left"/>
    </w:pPr>
    <w:rPr>
      <w:rFonts w:ascii="Arial Unicode MS" w:hAnsi="Arial Unicode MS" w:eastAsia="Arial Unicode MS" w:cs="Arial Unicode MS"/>
      <w:kern w:val="0"/>
      <w:sz w:val="24"/>
    </w:rPr>
  </w:style>
  <w:style w:type="paragraph" w:styleId="13">
    <w:name w:val="annotation subject"/>
    <w:basedOn w:val="4"/>
    <w:next w:val="4"/>
    <w:link w:val="47"/>
    <w:unhideWhenUsed/>
    <w:qFormat/>
    <w:uiPriority w:val="0"/>
    <w:rPr>
      <w:b/>
      <w:bCs/>
    </w:rPr>
  </w:style>
  <w:style w:type="character" w:styleId="16">
    <w:name w:val="Strong"/>
    <w:basedOn w:val="15"/>
    <w:qFormat/>
    <w:uiPriority w:val="22"/>
    <w:rPr>
      <w:b/>
      <w:bCs/>
    </w:rPr>
  </w:style>
  <w:style w:type="character" w:styleId="17">
    <w:name w:val="page number"/>
    <w:basedOn w:val="15"/>
    <w:qFormat/>
    <w:uiPriority w:val="0"/>
  </w:style>
  <w:style w:type="character" w:styleId="18">
    <w:name w:val="FollowedHyperlink"/>
    <w:qFormat/>
    <w:uiPriority w:val="0"/>
    <w:rPr>
      <w:color w:val="000000"/>
      <w:sz w:val="18"/>
      <w:szCs w:val="18"/>
      <w:u w:val="none"/>
    </w:rPr>
  </w:style>
  <w:style w:type="character" w:styleId="19">
    <w:name w:val="Emphasis"/>
    <w:qFormat/>
    <w:uiPriority w:val="20"/>
    <w:rPr>
      <w:i/>
      <w:iCs/>
    </w:rPr>
  </w:style>
  <w:style w:type="character" w:styleId="20">
    <w:name w:val="HTML Definition"/>
    <w:basedOn w:val="15"/>
    <w:semiHidden/>
    <w:unhideWhenUsed/>
    <w:qFormat/>
    <w:uiPriority w:val="0"/>
  </w:style>
  <w:style w:type="character" w:styleId="21">
    <w:name w:val="HTML Typewriter"/>
    <w:basedOn w:val="15"/>
    <w:semiHidden/>
    <w:unhideWhenUsed/>
    <w:qFormat/>
    <w:uiPriority w:val="0"/>
    <w:rPr>
      <w:rFonts w:hint="default" w:ascii="monospace" w:hAnsi="monospace" w:eastAsia="monospace" w:cs="monospace"/>
      <w:sz w:val="20"/>
    </w:rPr>
  </w:style>
  <w:style w:type="character" w:styleId="22">
    <w:name w:val="HTML Acronym"/>
    <w:basedOn w:val="15"/>
    <w:semiHidden/>
    <w:unhideWhenUsed/>
    <w:qFormat/>
    <w:uiPriority w:val="0"/>
  </w:style>
  <w:style w:type="character" w:styleId="23">
    <w:name w:val="HTML Variable"/>
    <w:basedOn w:val="15"/>
    <w:semiHidden/>
    <w:unhideWhenUsed/>
    <w:qFormat/>
    <w:uiPriority w:val="0"/>
  </w:style>
  <w:style w:type="character" w:styleId="24">
    <w:name w:val="Hyperlink"/>
    <w:basedOn w:val="15"/>
    <w:qFormat/>
    <w:uiPriority w:val="0"/>
    <w:rPr>
      <w:color w:val="000000"/>
      <w:sz w:val="18"/>
      <w:szCs w:val="18"/>
      <w:u w:val="none"/>
    </w:rPr>
  </w:style>
  <w:style w:type="character" w:styleId="25">
    <w:name w:val="HTML Code"/>
    <w:basedOn w:val="15"/>
    <w:semiHidden/>
    <w:unhideWhenUsed/>
    <w:qFormat/>
    <w:uiPriority w:val="0"/>
    <w:rPr>
      <w:rFonts w:ascii="monospace" w:hAnsi="monospace" w:eastAsia="monospace" w:cs="monospace"/>
      <w:sz w:val="20"/>
    </w:rPr>
  </w:style>
  <w:style w:type="character" w:styleId="26">
    <w:name w:val="annotation reference"/>
    <w:qFormat/>
    <w:uiPriority w:val="99"/>
    <w:rPr>
      <w:sz w:val="21"/>
      <w:szCs w:val="21"/>
    </w:rPr>
  </w:style>
  <w:style w:type="character" w:styleId="27">
    <w:name w:val="HTML Cite"/>
    <w:basedOn w:val="15"/>
    <w:semiHidden/>
    <w:unhideWhenUsed/>
    <w:qFormat/>
    <w:uiPriority w:val="0"/>
  </w:style>
  <w:style w:type="character" w:styleId="28">
    <w:name w:val="HTML Keyboard"/>
    <w:basedOn w:val="15"/>
    <w:semiHidden/>
    <w:unhideWhenUsed/>
    <w:qFormat/>
    <w:uiPriority w:val="0"/>
    <w:rPr>
      <w:rFonts w:hint="default" w:ascii="monospace" w:hAnsi="monospace" w:eastAsia="monospace" w:cs="monospace"/>
      <w:sz w:val="20"/>
    </w:rPr>
  </w:style>
  <w:style w:type="character" w:styleId="29">
    <w:name w:val="HTML Sample"/>
    <w:basedOn w:val="15"/>
    <w:semiHidden/>
    <w:unhideWhenUsed/>
    <w:qFormat/>
    <w:uiPriority w:val="0"/>
    <w:rPr>
      <w:rFonts w:hint="default" w:ascii="monospace" w:hAnsi="monospace" w:eastAsia="monospace" w:cs="monospace"/>
    </w:rPr>
  </w:style>
  <w:style w:type="paragraph" w:customStyle="1" w:styleId="30">
    <w:name w:val="默认段落字体 Para Char Char Char Char Char Char Char"/>
    <w:basedOn w:val="1"/>
    <w:qFormat/>
    <w:uiPriority w:val="0"/>
    <w:rPr>
      <w:rFonts w:ascii="Tahoma" w:hAnsi="Tahoma"/>
      <w:sz w:val="24"/>
      <w:szCs w:val="20"/>
    </w:rPr>
  </w:style>
  <w:style w:type="paragraph" w:customStyle="1" w:styleId="31">
    <w:name w:val="列出段落1"/>
    <w:basedOn w:val="1"/>
    <w:qFormat/>
    <w:uiPriority w:val="34"/>
    <w:pPr>
      <w:ind w:firstLine="420" w:firstLineChars="200"/>
    </w:pPr>
  </w:style>
  <w:style w:type="paragraph" w:customStyle="1" w:styleId="32">
    <w:name w:val="列出段落2"/>
    <w:basedOn w:val="1"/>
    <w:unhideWhenUsed/>
    <w:qFormat/>
    <w:uiPriority w:val="99"/>
    <w:pPr>
      <w:ind w:firstLine="420" w:firstLineChars="200"/>
    </w:pPr>
  </w:style>
  <w:style w:type="paragraph" w:customStyle="1" w:styleId="33">
    <w:name w:val="列出段落3"/>
    <w:basedOn w:val="1"/>
    <w:unhideWhenUsed/>
    <w:qFormat/>
    <w:uiPriority w:val="99"/>
    <w:pPr>
      <w:ind w:firstLine="420" w:firstLineChars="200"/>
    </w:pPr>
  </w:style>
  <w:style w:type="paragraph" w:customStyle="1" w:styleId="34">
    <w:name w:val="WPSOffice手动目录 1"/>
    <w:qFormat/>
    <w:uiPriority w:val="0"/>
    <w:rPr>
      <w:rFonts w:ascii="Times New Roman" w:hAnsi="Times New Roman" w:eastAsia="宋体" w:cs="Times New Roman"/>
      <w:lang w:val="en-US" w:eastAsia="zh-CN" w:bidi="ar-SA"/>
    </w:rPr>
  </w:style>
  <w:style w:type="paragraph" w:customStyle="1" w:styleId="3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6">
    <w:name w:val="列出段落4"/>
    <w:basedOn w:val="1"/>
    <w:unhideWhenUsed/>
    <w:qFormat/>
    <w:uiPriority w:val="99"/>
    <w:pPr>
      <w:ind w:firstLine="420" w:firstLineChars="200"/>
    </w:pPr>
  </w:style>
  <w:style w:type="character" w:customStyle="1" w:styleId="37">
    <w:name w:val="正文文本 字符"/>
    <w:link w:val="5"/>
    <w:qFormat/>
    <w:uiPriority w:val="0"/>
    <w:rPr>
      <w:rFonts w:eastAsia="宋体"/>
      <w:kern w:val="2"/>
      <w:sz w:val="21"/>
      <w:szCs w:val="24"/>
      <w:lang w:val="en-US" w:eastAsia="zh-CN" w:bidi="ar-SA"/>
    </w:rPr>
  </w:style>
  <w:style w:type="character" w:customStyle="1" w:styleId="38">
    <w:name w:val="font21"/>
    <w:qFormat/>
    <w:uiPriority w:val="0"/>
    <w:rPr>
      <w:rFonts w:ascii="Arial" w:hAnsi="Arial" w:cs="Arial"/>
      <w:color w:val="000000"/>
      <w:sz w:val="20"/>
      <w:szCs w:val="20"/>
      <w:u w:val="none"/>
    </w:rPr>
  </w:style>
  <w:style w:type="character" w:customStyle="1" w:styleId="39">
    <w:name w:val="font11"/>
    <w:qFormat/>
    <w:uiPriority w:val="0"/>
    <w:rPr>
      <w:rFonts w:hint="eastAsia" w:ascii="宋体" w:hAnsi="宋体" w:eastAsia="宋体" w:cs="宋体"/>
      <w:color w:val="000000"/>
      <w:sz w:val="20"/>
      <w:szCs w:val="20"/>
      <w:u w:val="none"/>
    </w:rPr>
  </w:style>
  <w:style w:type="character" w:customStyle="1" w:styleId="40">
    <w:name w:val="bar1"/>
    <w:qFormat/>
    <w:uiPriority w:val="0"/>
    <w:rPr>
      <w:shd w:val="clear" w:color="auto" w:fill="CC0000"/>
    </w:rPr>
  </w:style>
  <w:style w:type="character" w:customStyle="1" w:styleId="41">
    <w:name w:val="current"/>
    <w:qFormat/>
    <w:uiPriority w:val="0"/>
    <w:rPr>
      <w:b/>
      <w:color w:val="99210B"/>
    </w:rPr>
  </w:style>
  <w:style w:type="character" w:customStyle="1" w:styleId="42">
    <w:name w:val="current1"/>
    <w:qFormat/>
    <w:uiPriority w:val="0"/>
    <w:rPr>
      <w:b/>
      <w:color w:val="99210B"/>
    </w:rPr>
  </w:style>
  <w:style w:type="character" w:customStyle="1" w:styleId="43">
    <w:name w:val="disabled"/>
    <w:qFormat/>
    <w:uiPriority w:val="0"/>
    <w:rPr>
      <w:color w:val="99210B"/>
    </w:rPr>
  </w:style>
  <w:style w:type="character" w:customStyle="1" w:styleId="44">
    <w:name w:val="disabled1"/>
    <w:qFormat/>
    <w:uiPriority w:val="0"/>
    <w:rPr>
      <w:color w:val="99210B"/>
    </w:rPr>
  </w:style>
  <w:style w:type="character" w:customStyle="1" w:styleId="45">
    <w:name w:val="副标题 字符"/>
    <w:link w:val="10"/>
    <w:qFormat/>
    <w:uiPriority w:val="11"/>
    <w:rPr>
      <w:rFonts w:ascii="Cambria" w:hAnsi="Cambria"/>
      <w:b/>
      <w:bCs/>
      <w:kern w:val="28"/>
      <w:sz w:val="32"/>
      <w:szCs w:val="32"/>
    </w:rPr>
  </w:style>
  <w:style w:type="character" w:customStyle="1" w:styleId="46">
    <w:name w:val="批注文字 字符"/>
    <w:link w:val="4"/>
    <w:qFormat/>
    <w:uiPriority w:val="99"/>
    <w:rPr>
      <w:kern w:val="2"/>
      <w:sz w:val="21"/>
      <w:szCs w:val="24"/>
    </w:rPr>
  </w:style>
  <w:style w:type="character" w:customStyle="1" w:styleId="47">
    <w:name w:val="批注主题 字符"/>
    <w:link w:val="13"/>
    <w:qFormat/>
    <w:uiPriority w:val="0"/>
    <w:rPr>
      <w:b/>
      <w:bCs/>
      <w:kern w:val="2"/>
      <w:sz w:val="21"/>
      <w:szCs w:val="24"/>
    </w:rPr>
  </w:style>
  <w:style w:type="character" w:customStyle="1" w:styleId="48">
    <w:name w:val="bds_more"/>
    <w:qFormat/>
    <w:uiPriority w:val="0"/>
    <w:rPr>
      <w:rFonts w:hint="eastAsia" w:ascii="宋体" w:hAnsi="宋体" w:eastAsia="宋体" w:cs="宋体"/>
    </w:rPr>
  </w:style>
  <w:style w:type="character" w:customStyle="1" w:styleId="49">
    <w:name w:val="bds_more1"/>
    <w:basedOn w:val="15"/>
    <w:qFormat/>
    <w:uiPriority w:val="0"/>
  </w:style>
  <w:style w:type="character" w:customStyle="1" w:styleId="50">
    <w:name w:val="bds_more2"/>
    <w:basedOn w:val="15"/>
    <w:qFormat/>
    <w:uiPriority w:val="0"/>
  </w:style>
  <w:style w:type="character" w:customStyle="1" w:styleId="51">
    <w:name w:val="xz"/>
    <w:qFormat/>
    <w:uiPriority w:val="0"/>
    <w:rPr>
      <w:b/>
    </w:rPr>
  </w:style>
  <w:style w:type="character" w:customStyle="1" w:styleId="52">
    <w:name w:val="bds_nopic"/>
    <w:basedOn w:val="15"/>
    <w:qFormat/>
    <w:uiPriority w:val="0"/>
  </w:style>
  <w:style w:type="character" w:customStyle="1" w:styleId="53">
    <w:name w:val="bds_nopic1"/>
    <w:basedOn w:val="15"/>
    <w:qFormat/>
    <w:uiPriority w:val="0"/>
  </w:style>
  <w:style w:type="character" w:customStyle="1" w:styleId="54">
    <w:name w:val="bds_nopic2"/>
    <w:basedOn w:val="15"/>
    <w:qFormat/>
    <w:uiPriority w:val="0"/>
  </w:style>
  <w:style w:type="character" w:customStyle="1" w:styleId="55">
    <w:name w:val="bds_more3"/>
    <w:basedOn w:val="15"/>
    <w:qFormat/>
    <w:uiPriority w:val="0"/>
  </w:style>
  <w:style w:type="character" w:customStyle="1" w:styleId="56">
    <w:name w:val="bds_more4"/>
    <w:basedOn w:val="15"/>
    <w:qFormat/>
    <w:uiPriority w:val="0"/>
  </w:style>
  <w:style w:type="character" w:customStyle="1" w:styleId="57">
    <w:name w:val="页眉 字符"/>
    <w:link w:val="9"/>
    <w:qFormat/>
    <w:uiPriority w:val="0"/>
    <w:rPr>
      <w:kern w:val="2"/>
      <w:sz w:val="18"/>
      <w:szCs w:val="18"/>
    </w:rPr>
  </w:style>
  <w:style w:type="character" w:customStyle="1" w:styleId="58">
    <w:name w:val="font41"/>
    <w:basedOn w:val="15"/>
    <w:qFormat/>
    <w:uiPriority w:val="0"/>
    <w:rPr>
      <w:rFonts w:hint="eastAsia" w:ascii="宋体" w:hAnsi="宋体" w:eastAsia="宋体" w:cs="宋体"/>
      <w:color w:val="000000"/>
      <w:sz w:val="20"/>
      <w:szCs w:val="20"/>
      <w:u w:val="none"/>
    </w:rPr>
  </w:style>
  <w:style w:type="character" w:customStyle="1" w:styleId="59">
    <w:name w:val="font01"/>
    <w:basedOn w:val="15"/>
    <w:qFormat/>
    <w:uiPriority w:val="0"/>
    <w:rPr>
      <w:rFonts w:hint="eastAsia" w:ascii="宋体" w:hAnsi="宋体" w:eastAsia="宋体" w:cs="宋体"/>
      <w:color w:val="FF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jpe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Info spid="_x0000_s4098"/>
    <customShpInfo spid="_x0000_s4100"/>
    <customShpInfo spid="_x0000_s409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5490EA-74F1-456C-AEAC-56FF2DC6C4A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Pages>
  <Words>5098</Words>
  <Characters>5521</Characters>
  <Lines>92</Lines>
  <Paragraphs>26</Paragraphs>
  <TotalTime>1</TotalTime>
  <ScaleCrop>false</ScaleCrop>
  <LinksUpToDate>false</LinksUpToDate>
  <CharactersWithSpaces>5575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2017-10-24T04:49:00Z</dcterms:created>
  <dc:creator>gcy</dc:creator>
  <cp:lastModifiedBy>slow  action</cp:lastModifiedBy>
  <cp:lastPrinted>2018-12-26T07:28:00Z</cp:lastPrinted>
  <dcterms:modified xsi:type="dcterms:W3CDTF">2024-11-04T02:11:49Z</dcterms:modified>
  <dc:title>2016年市本级扶贫开发专项资金</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798B4A897D5D48B095EB72A4E8746696_12</vt:lpwstr>
  </property>
</Properties>
</file>