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龙岩经济技术开发区（龙岩高新区）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关于201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9</w:t>
      </w:r>
      <w:r>
        <w:rPr>
          <w:rFonts w:hint="eastAsia" w:ascii="方正小标宋简体" w:eastAsia="方正小标宋简体"/>
          <w:sz w:val="44"/>
          <w:szCs w:val="44"/>
        </w:rPr>
        <w:t>年预算相关重要事项说明</w:t>
      </w:r>
    </w:p>
    <w:p>
      <w:pPr>
        <w:spacing w:line="560" w:lineRule="exact"/>
        <w:jc w:val="center"/>
        <w:rPr>
          <w:sz w:val="44"/>
          <w:szCs w:val="44"/>
        </w:rPr>
      </w:pPr>
    </w:p>
    <w:p>
      <w:pPr>
        <w:widowControl/>
        <w:shd w:val="clear" w:color="auto" w:fill="FFFFFF"/>
        <w:spacing w:line="560" w:lineRule="exact"/>
        <w:ind w:firstLine="800" w:firstLineChars="250"/>
        <w:jc w:val="left"/>
        <w:rPr>
          <w:rFonts w:ascii="黑体" w:hAnsi="黑体" w:eastAsia="黑体" w:cs="宋体"/>
          <w:color w:val="666666"/>
          <w:kern w:val="0"/>
          <w:szCs w:val="21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一、开发区本级支出预算说明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年度开发区一般公共预算支出数为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33556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万元，比201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年度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val="en-US" w:eastAsia="zh-CN"/>
        </w:rPr>
        <w:t>4856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/>
          <w:color w:val="auto"/>
          <w:kern w:val="0"/>
          <w:sz w:val="32"/>
          <w:szCs w:val="32"/>
          <w:highlight w:val="none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val="en-US" w:eastAsia="zh-CN"/>
        </w:rPr>
        <w:t>16.9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%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。具体情况如下</w:t>
      </w:r>
      <w:r>
        <w:rPr>
          <w:rFonts w:hint="eastAsia" w:ascii="仿宋" w:hAnsi="仿宋" w:eastAsia="仿宋" w:cs="Arial"/>
          <w:color w:val="auto"/>
          <w:kern w:val="0"/>
          <w:sz w:val="32"/>
          <w:szCs w:val="32"/>
          <w:highlight w:val="none"/>
        </w:rPr>
        <w:t>（分款级科目表述）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 xml:space="preserve"> ：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楷体" w:hAnsi="楷体" w:eastAsia="楷体" w:cs="宋体"/>
          <w:b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（一）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201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一般公共服务支出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5861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1361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" w:hAnsi="仿宋" w:eastAsia="仿宋"/>
          <w:color w:val="auto"/>
          <w:kern w:val="0"/>
          <w:sz w:val="32"/>
          <w:szCs w:val="32"/>
          <w:highlight w:val="none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30.2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%。主要原因是企业服务大厅费用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征管经费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、代征手续费、招商工作经费、注册官助理经费等增加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。其中：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1.</w:t>
      </w:r>
      <w:r>
        <w:rPr>
          <w:rFonts w:ascii="仿宋_GB2312" w:hAnsi="宋体" w:eastAsia="仿宋_GB2312" w:cs="宋体"/>
          <w:color w:val="111111"/>
          <w:sz w:val="32"/>
          <w:szCs w:val="32"/>
        </w:rPr>
        <w:t>20103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政府办公厅(室)及相关机构事务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1675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325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16.3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%。主要原因是宣传费用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及办公场所费用减少。</w:t>
      </w:r>
    </w:p>
    <w:p>
      <w:pPr>
        <w:numPr>
          <w:ilvl w:val="0"/>
          <w:numId w:val="1"/>
        </w:num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ascii="仿宋_GB2312" w:hAnsi="宋体" w:eastAsia="仿宋_GB2312" w:cs="宋体"/>
          <w:color w:val="111111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05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统计信息事务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主要原因是一般业务经费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</w:t>
      </w:r>
    </w:p>
    <w:p>
      <w:pPr>
        <w:numPr>
          <w:ilvl w:val="0"/>
          <w:numId w:val="1"/>
        </w:num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val="en-US" w:eastAsia="zh-CN"/>
        </w:rPr>
        <w:t>20106财政事务237万元，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val="en-US" w:eastAsia="zh-CN"/>
        </w:rPr>
        <w:t>95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val="en-US" w:eastAsia="zh-CN"/>
        </w:rPr>
        <w:t>28.6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%。主要原因是工程审核费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eastAsia="zh-CN"/>
        </w:rPr>
        <w:t>减少。</w:t>
      </w:r>
    </w:p>
    <w:p>
      <w:pPr>
        <w:numPr>
          <w:ilvl w:val="0"/>
          <w:numId w:val="1"/>
        </w:num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20107税收事务1350万元，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550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68.8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</w:t>
      </w:r>
      <w:r>
        <w:rPr>
          <w:rFonts w:hint="eastAsia" w:ascii="仿宋" w:hAnsi="仿宋" w:eastAsia="仿宋"/>
          <w:kern w:val="0"/>
          <w:sz w:val="32"/>
          <w:szCs w:val="32"/>
        </w:rPr>
        <w:t>税务改革，业务经费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增加。</w:t>
      </w:r>
    </w:p>
    <w:p>
      <w:pPr>
        <w:numPr>
          <w:ilvl w:val="0"/>
          <w:numId w:val="1"/>
        </w:num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20111纪检监察事务8万元，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主要原因是业务经费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增加。</w:t>
      </w:r>
    </w:p>
    <w:p>
      <w:pPr>
        <w:numPr>
          <w:ilvl w:val="0"/>
          <w:numId w:val="1"/>
        </w:numPr>
        <w:pBdr>
          <w:bottom w:val="single" w:color="FFFFFF" w:sz="4" w:space="31"/>
        </w:pBdr>
        <w:adjustRightInd w:val="0"/>
        <w:spacing w:line="560" w:lineRule="exact"/>
        <w:ind w:left="0" w:leftChars="0"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ascii="仿宋_GB2312" w:hAnsi="宋体" w:eastAsia="仿宋_GB2312" w:cs="宋体"/>
          <w:color w:val="111111"/>
          <w:sz w:val="32"/>
          <w:szCs w:val="32"/>
        </w:rPr>
        <w:t>20113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商贸事务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1585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1285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428.3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%。主要原因是扶持外贸出口企业专项补助金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及招商工作经费增加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</w:t>
      </w:r>
    </w:p>
    <w:p>
      <w:pPr>
        <w:numPr>
          <w:ilvl w:val="0"/>
          <w:numId w:val="1"/>
        </w:numPr>
        <w:pBdr>
          <w:bottom w:val="single" w:color="FFFFFF" w:sz="4" w:space="31"/>
        </w:pBdr>
        <w:adjustRightInd w:val="0"/>
        <w:spacing w:line="560" w:lineRule="exact"/>
        <w:ind w:left="0" w:leftChars="0"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20129群众团体事务176万元，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22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14.3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%。主要原因是职工节日慰问品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增加。</w:t>
      </w:r>
    </w:p>
    <w:p>
      <w:pPr>
        <w:numPr>
          <w:ilvl w:val="0"/>
          <w:numId w:val="1"/>
        </w:numPr>
        <w:pBdr>
          <w:bottom w:val="single" w:color="FFFFFF" w:sz="4" w:space="31"/>
        </w:pBdr>
        <w:adjustRightInd w:val="0"/>
        <w:spacing w:line="560" w:lineRule="exact"/>
        <w:ind w:left="0" w:leftChars="0"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20136其他共产党事务支出34万元，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41.7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%。主要原因是党报党刊订阅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增加。</w:t>
      </w:r>
    </w:p>
    <w:p>
      <w:pPr>
        <w:numPr>
          <w:ilvl w:val="0"/>
          <w:numId w:val="1"/>
        </w:numPr>
        <w:pBdr>
          <w:bottom w:val="single" w:color="FFFFFF" w:sz="4" w:space="31"/>
        </w:pBdr>
        <w:adjustRightInd w:val="0"/>
        <w:spacing w:line="560" w:lineRule="exact"/>
        <w:ind w:left="0" w:leftChars="0"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20138市场监督管理事务25万元，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主要原因是注册官助理经费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增加。</w:t>
      </w:r>
    </w:p>
    <w:p>
      <w:pPr>
        <w:numPr>
          <w:ilvl w:val="0"/>
          <w:numId w:val="1"/>
        </w:numPr>
        <w:pBdr>
          <w:bottom w:val="single" w:color="FFFFFF" w:sz="4" w:space="31"/>
        </w:pBdr>
        <w:adjustRightInd w:val="0"/>
        <w:spacing w:line="560" w:lineRule="exact"/>
        <w:ind w:left="0" w:leftChars="0" w:firstLine="640" w:firstLineChars="200"/>
        <w:rPr>
          <w:rFonts w:hint="eastAsia" w:ascii="仿宋_GB2312" w:hAnsi="Calibri" w:eastAsia="仿宋_GB2312" w:cs="Times New Roman"/>
          <w:sz w:val="30"/>
          <w:szCs w:val="30"/>
          <w:highlight w:val="none"/>
        </w:rPr>
      </w:pPr>
      <w:r>
        <w:rPr>
          <w:rFonts w:ascii="仿宋_GB2312" w:hAnsi="宋体" w:eastAsia="仿宋_GB2312" w:cs="宋体"/>
          <w:color w:val="111111"/>
          <w:sz w:val="32"/>
          <w:szCs w:val="32"/>
          <w:highlight w:val="none"/>
        </w:rPr>
        <w:t>20199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其他一般公共服务支出(款)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val="en-US" w:eastAsia="zh-CN"/>
        </w:rPr>
        <w:t>746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val="en-US" w:eastAsia="zh-CN"/>
        </w:rPr>
        <w:t>654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val="en-US" w:eastAsia="zh-CN"/>
        </w:rPr>
        <w:t>46.7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%。主要原因是</w:t>
      </w:r>
      <w:r>
        <w:rPr>
          <w:rFonts w:hint="eastAsia" w:ascii="仿宋_GB2312" w:hAnsi="Calibri" w:eastAsia="仿宋_GB2312" w:cs="Times New Roman"/>
          <w:sz w:val="30"/>
          <w:szCs w:val="30"/>
          <w:highlight w:val="none"/>
        </w:rPr>
        <w:t>19年进一步细化支出。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楷体" w:hAnsi="楷体" w:eastAsia="楷体" w:cs="宋体"/>
          <w:b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（二）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204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公共安全支出0万元，较上年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780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%。主要原因是204公共安全支出“消防事务”已调整到224灾害防治及应急管理支出。其中：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1.</w:t>
      </w:r>
      <w:r>
        <w:t xml:space="preserve"> </w:t>
      </w:r>
      <w:r>
        <w:rPr>
          <w:rFonts w:ascii="仿宋_GB2312" w:hAnsi="宋体" w:eastAsia="仿宋_GB2312" w:cs="宋体"/>
          <w:color w:val="111111"/>
          <w:sz w:val="32"/>
          <w:szCs w:val="32"/>
        </w:rPr>
        <w:t>20401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武装警察部队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730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科目调整。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2.</w:t>
      </w:r>
      <w:r>
        <w:t xml:space="preserve"> </w:t>
      </w:r>
      <w:r>
        <w:rPr>
          <w:rFonts w:ascii="仿宋_GB2312" w:hAnsi="宋体" w:eastAsia="仿宋_GB2312" w:cs="宋体"/>
          <w:color w:val="111111"/>
          <w:sz w:val="32"/>
          <w:szCs w:val="32"/>
        </w:rPr>
        <w:t>20499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其他公共安全支出(款)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科目调整。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楷体" w:hAnsi="楷体" w:eastAsia="楷体" w:cs="宋体"/>
          <w:b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（三）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val="en-US" w:eastAsia="zh-CN"/>
        </w:rPr>
        <w:t>205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教育支出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000万元，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5000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250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%。主要原因是增加安排龙岩实验学校、永高小学建设5000万元。其中：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1.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20502普通教育7000万元，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7000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万元。主要原因是增加安排龙岩实验学校、永高小学建设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2.</w:t>
      </w:r>
      <w:r>
        <w:rPr>
          <w:rFonts w:ascii="仿宋_GB2312" w:hAnsi="宋体" w:eastAsia="仿宋_GB2312" w:cs="宋体"/>
          <w:color w:val="111111"/>
          <w:sz w:val="32"/>
          <w:szCs w:val="32"/>
        </w:rPr>
        <w:t>20599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其他教育支出(款)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2000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科目调整至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普通教育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（四）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206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科学技术支出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3106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2456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377.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8%。主要原因是增加产业技术研究与开发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及研发经费补助及新增国家高企奖励资金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。其中：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1.20604技术研究与开发3101万元，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3101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万元。主要原因是增加产业技术研究与开发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及其他技术研究与开发支出。</w:t>
      </w:r>
    </w:p>
    <w:p>
      <w:pPr>
        <w:numPr>
          <w:ilvl w:val="0"/>
          <w:numId w:val="2"/>
        </w:num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ascii="仿宋_GB2312" w:hAnsi="宋体" w:eastAsia="仿宋_GB2312" w:cs="宋体"/>
          <w:color w:val="111111"/>
          <w:sz w:val="32"/>
          <w:szCs w:val="32"/>
        </w:rPr>
        <w:t>20699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其他科学技术支出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645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99.2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科目调整至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技术研究与开发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ind w:firstLine="640"/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（五）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208 社会保障和就业支出46万元，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46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万元。主要原因是增加两节期间慰问及离退休干部慰问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1.20805行政事业单位离退休46万元，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46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万元。主要原因是增加两节期间慰问及离退休干部慰问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ind w:firstLine="640"/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六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210卫生健康支出300万元，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300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万元。主要原因是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增加医疗费用。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ind w:firstLine="640"/>
        <w:rPr>
          <w:rFonts w:hint="default" w:ascii="仿宋_GB2312" w:hAnsi="宋体" w:eastAsia="仿宋_GB2312" w:cs="宋体"/>
          <w:color w:val="111111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1.21099其他卫生健康支出300万元，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300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万元。主要原因是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增加医疗费用。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楷体" w:hAnsi="楷体" w:eastAsia="楷体" w:cs="宋体"/>
          <w:b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七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212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城乡社区支出5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762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562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10.8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增加市政经费、执法服装费、专项“整治”经费、突击迎检经费等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支出。其中：</w:t>
      </w:r>
      <w:bookmarkStart w:id="0" w:name="_GoBack"/>
      <w:bookmarkEnd w:id="0"/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1.21201城乡社区管理事务147万元，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147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万元。主要原因是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增加执法服装费、专项“整治”经费。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2.21202城乡社区规划与管理(款)100万元，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万元。主要原因是突击迎检经费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3.21205城乡社区环境卫生(款)1076万元，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1076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万元。主要原因是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市政经费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4.21206建设市场管理与监督(款)60万元，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60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万元。主要原因是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新罗区、永定工程质量安全监督代管费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5.</w:t>
      </w:r>
      <w:r>
        <w:rPr>
          <w:rFonts w:ascii="仿宋_GB2312" w:hAnsi="宋体" w:eastAsia="仿宋_GB2312" w:cs="宋体"/>
          <w:color w:val="111111"/>
          <w:sz w:val="32"/>
          <w:szCs w:val="32"/>
        </w:rPr>
        <w:t>21299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其他城乡社区支出(款)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4379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 xml:space="preserve"> 万元，较上年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821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15.8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科目调整至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城乡社区环境卫生(款)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楷体" w:hAnsi="楷体" w:eastAsia="楷体" w:cs="宋体"/>
          <w:b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八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215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资源勘探信息等支出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3090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预算数减少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2810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47.6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%。主要原因是18年兑现“三上”企业奖励、项目奖励、扶持建筑业发展奖励等2200万元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及19年减少兑现招商引资奖励政策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。其中：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1.</w:t>
      </w:r>
      <w:r>
        <w:t xml:space="preserve"> </w:t>
      </w:r>
      <w:r>
        <w:rPr>
          <w:rFonts w:ascii="仿宋_GB2312" w:hAnsi="宋体" w:eastAsia="仿宋_GB2312" w:cs="宋体"/>
          <w:color w:val="111111"/>
          <w:sz w:val="32"/>
          <w:szCs w:val="32"/>
        </w:rPr>
        <w:t>21508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支持中小企业发展和管理支出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3090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预算数减少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810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20.8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减少兑现招商引资奖励政策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2.</w:t>
      </w:r>
      <w:r>
        <w:t xml:space="preserve"> </w:t>
      </w:r>
      <w:r>
        <w:rPr>
          <w:rFonts w:ascii="仿宋_GB2312" w:hAnsi="宋体" w:eastAsia="仿宋_GB2312" w:cs="宋体"/>
          <w:color w:val="111111"/>
          <w:sz w:val="32"/>
          <w:szCs w:val="32"/>
        </w:rPr>
        <w:t>21599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其他资源勘探信息等支出(款)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万元，较上年快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预算数减少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2000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%。主要原因是18年兑现“三上”企业奖励、项目奖励、扶持建筑业发展奖励等2200万元。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九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224灾害防治及应急管理支出756万元，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756万元，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主要原因是204公共安全支出“消防事务”已调整到224灾害防治及应急管理支出。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1.22401应急管理支出86万元，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86万元，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主要原因是204公共安全支出“消防事务”已调整到224灾害防治及应急管理支出。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default" w:ascii="仿宋_GB2312" w:hAnsi="宋体" w:eastAsia="仿宋_GB2312" w:cs="宋体"/>
          <w:color w:val="111111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2.22402消防事务670万元，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670万元，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主要原因是204公共安全支出“消防事务”已调整到224灾害防治及应急管理支出。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楷体" w:hAnsi="楷体" w:eastAsia="楷体" w:cs="宋体"/>
          <w:b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十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229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其他支出(类)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300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预算数减少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3835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92.7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%。主要原因是19年进一步细化支出。其中：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240" w:lineRule="auto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1.</w:t>
      </w:r>
      <w:r>
        <w:rPr>
          <w:rFonts w:ascii="仿宋_GB2312" w:hAnsi="宋体" w:eastAsia="仿宋_GB2312" w:cs="宋体"/>
          <w:color w:val="111111"/>
          <w:sz w:val="32"/>
          <w:szCs w:val="32"/>
        </w:rPr>
        <w:t>22999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其他支出(款)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300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预算数减少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3835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92.7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%。主要原因是19年进一步细化支出。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 xml:space="preserve">       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240" w:lineRule="auto"/>
        <w:ind w:firstLine="640" w:firstLineChars="200"/>
        <w:rPr>
          <w:rFonts w:ascii="楷体" w:hAnsi="楷体" w:eastAsia="楷体" w:cs="宋体"/>
          <w:b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十一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232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债务付息支出5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00万元，较上年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600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11.5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%。其中：</w:t>
      </w:r>
    </w:p>
    <w:p>
      <w:pPr>
        <w:numPr>
          <w:ilvl w:val="0"/>
          <w:numId w:val="3"/>
        </w:num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ascii="仿宋_GB2312" w:hAnsi="宋体" w:eastAsia="仿宋_GB2312" w:cs="宋体"/>
          <w:color w:val="111111"/>
          <w:sz w:val="32"/>
          <w:szCs w:val="32"/>
        </w:rPr>
        <w:t>23203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地方政府一般债务付息支出5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00万元，较上年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600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11.5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楷体" w:hAnsi="楷体" w:eastAsia="楷体" w:cs="宋体"/>
          <w:b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十二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233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债务发行费用支出35万元，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较上年预算数增加0万元，增长0%。与上年持平。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其中：</w:t>
      </w:r>
    </w:p>
    <w:p>
      <w:pPr>
        <w:numPr>
          <w:ilvl w:val="0"/>
          <w:numId w:val="4"/>
        </w:num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ascii="仿宋_GB2312" w:hAnsi="宋体" w:eastAsia="仿宋_GB2312" w:cs="宋体"/>
          <w:color w:val="111111"/>
          <w:sz w:val="32"/>
          <w:szCs w:val="32"/>
        </w:rPr>
        <w:t>23303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地方政府一般债务发行费用支出35万元，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较上年预算数增加0万元，增长0%。与上年持平。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十三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）预备费支出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350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万元，主要原因根据《预算法》的要求</w:t>
      </w:r>
      <w:r>
        <w:rPr>
          <w:rFonts w:hint="eastAsia" w:ascii="仿宋" w:hAnsi="仿宋" w:eastAsia="仿宋"/>
          <w:kern w:val="0"/>
          <w:sz w:val="32"/>
          <w:szCs w:val="32"/>
        </w:rPr>
        <w:t>按支出预算的1-3%安排预备费。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二、财政转移支付安排情况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年度经开区对下税收返还和转移支付预算数为0万元，比201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年度预算数</w:t>
      </w:r>
      <w:r>
        <w:rPr>
          <w:rFonts w:hint="eastAsia" w:ascii="仿宋" w:hAnsi="仿宋" w:eastAsia="仿宋"/>
          <w:kern w:val="0"/>
          <w:sz w:val="32"/>
          <w:szCs w:val="32"/>
        </w:rPr>
        <w:t>持平，未有一般公共预算对下税收返还和转移支付预算数据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。具体情况如下：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3" w:firstLineChars="200"/>
        <w:rPr>
          <w:rStyle w:val="7"/>
          <w:rFonts w:ascii="仿宋_GB2312" w:hAnsi="宋体" w:eastAsia="仿宋_GB2312" w:cs="宋体"/>
          <w:b w:val="0"/>
          <w:bCs w:val="0"/>
          <w:color w:val="111111"/>
          <w:sz w:val="32"/>
          <w:szCs w:val="32"/>
        </w:rPr>
      </w:pPr>
      <w:r>
        <w:rPr>
          <w:rFonts w:hint="eastAsia" w:ascii="楷体" w:hAnsi="楷体" w:eastAsia="楷体" w:cs="Arial"/>
          <w:b/>
          <w:kern w:val="0"/>
          <w:sz w:val="32"/>
          <w:szCs w:val="32"/>
        </w:rPr>
        <w:t>（一）</w:t>
      </w:r>
      <w:r>
        <w:rPr>
          <w:rStyle w:val="7"/>
          <w:rFonts w:hint="eastAsia" w:ascii="楷体" w:hAnsi="楷体" w:eastAsia="楷体" w:cs="Arial"/>
          <w:kern w:val="0"/>
          <w:sz w:val="32"/>
          <w:szCs w:val="32"/>
        </w:rPr>
        <w:t>一般性转移支付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年度经开区对下一般转移支付预算数为0万元，比201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年度预算数</w:t>
      </w:r>
      <w:r>
        <w:rPr>
          <w:rFonts w:hint="eastAsia" w:ascii="仿宋" w:hAnsi="仿宋" w:eastAsia="仿宋"/>
          <w:kern w:val="0"/>
          <w:sz w:val="32"/>
          <w:szCs w:val="32"/>
        </w:rPr>
        <w:t>持平，未有一般公共预算</w:t>
      </w:r>
      <w:r>
        <w:rPr>
          <w:rFonts w:hint="eastAsia" w:ascii="仿宋" w:hAnsi="仿宋" w:eastAsia="仿宋" w:cs="Arial"/>
          <w:kern w:val="0"/>
          <w:sz w:val="32"/>
          <w:szCs w:val="32"/>
        </w:rPr>
        <w:t>对下一般性转移支付预算数据。具体情况如下（分项目表述）：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3" w:firstLineChars="200"/>
        <w:rPr>
          <w:rStyle w:val="7"/>
          <w:rFonts w:ascii="仿宋_GB2312" w:hAnsi="宋体" w:eastAsia="仿宋_GB2312" w:cs="宋体"/>
          <w:b w:val="0"/>
          <w:bCs w:val="0"/>
          <w:color w:val="111111"/>
          <w:sz w:val="32"/>
          <w:szCs w:val="32"/>
        </w:rPr>
      </w:pPr>
      <w:r>
        <w:rPr>
          <w:rFonts w:hint="eastAsia" w:ascii="楷体" w:hAnsi="楷体" w:eastAsia="楷体" w:cs="Arial"/>
          <w:b/>
          <w:kern w:val="0"/>
          <w:sz w:val="32"/>
          <w:szCs w:val="32"/>
        </w:rPr>
        <w:t>（二）</w:t>
      </w:r>
      <w:r>
        <w:rPr>
          <w:rStyle w:val="7"/>
          <w:rFonts w:hint="eastAsia" w:ascii="楷体" w:hAnsi="楷体" w:eastAsia="楷体" w:cs="Arial"/>
          <w:kern w:val="0"/>
          <w:sz w:val="32"/>
          <w:szCs w:val="32"/>
        </w:rPr>
        <w:t>专项转移支付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年度经开区对下专项转移支付预算数为0万元，比201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年度预算数</w:t>
      </w:r>
      <w:r>
        <w:rPr>
          <w:rFonts w:hint="eastAsia" w:ascii="仿宋" w:hAnsi="仿宋" w:eastAsia="仿宋"/>
          <w:kern w:val="0"/>
          <w:sz w:val="32"/>
          <w:szCs w:val="32"/>
        </w:rPr>
        <w:t>持平，未有一般公共预算对下专项转移支付预算数据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。具体情况如下（分项目表述）：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3" w:firstLineChars="200"/>
        <w:rPr>
          <w:rStyle w:val="7"/>
          <w:rFonts w:ascii="仿宋_GB2312" w:hAnsi="宋体" w:eastAsia="仿宋_GB2312" w:cs="宋体"/>
          <w:b w:val="0"/>
          <w:bCs w:val="0"/>
          <w:color w:val="111111"/>
          <w:sz w:val="32"/>
          <w:szCs w:val="32"/>
        </w:rPr>
      </w:pPr>
      <w:r>
        <w:rPr>
          <w:rFonts w:hint="eastAsia" w:ascii="楷体" w:hAnsi="楷体" w:eastAsia="楷体" w:cs="Arial"/>
          <w:b/>
          <w:kern w:val="0"/>
          <w:sz w:val="32"/>
          <w:szCs w:val="32"/>
        </w:rPr>
        <w:t>（三）</w:t>
      </w:r>
      <w:r>
        <w:rPr>
          <w:rStyle w:val="7"/>
          <w:rFonts w:hint="eastAsia" w:ascii="楷体" w:hAnsi="楷体" w:eastAsia="楷体" w:cs="Arial"/>
          <w:kern w:val="0"/>
          <w:sz w:val="32"/>
          <w:szCs w:val="32"/>
        </w:rPr>
        <w:t>税收返还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年度经开区对下税收返还预算数为0万元，比201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年度预算数</w:t>
      </w:r>
      <w:r>
        <w:rPr>
          <w:rFonts w:hint="eastAsia" w:ascii="仿宋" w:hAnsi="仿宋" w:eastAsia="仿宋"/>
          <w:kern w:val="0"/>
          <w:sz w:val="32"/>
          <w:szCs w:val="32"/>
        </w:rPr>
        <w:t>持平，未有一般公共预算对下税收返还预算数据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。具体情况如下（分项目表述）：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三、举借政府债务情况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201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年，新增一般</w:t>
      </w:r>
      <w:r>
        <w:rPr>
          <w:rFonts w:hint="eastAsia" w:ascii="仿宋" w:hAnsi="仿宋" w:eastAsia="仿宋"/>
          <w:snapToGrid w:val="0"/>
          <w:kern w:val="0"/>
          <w:sz w:val="32"/>
          <w:szCs w:val="32"/>
          <w:lang w:eastAsia="zh-CN"/>
        </w:rPr>
        <w:t>债务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3000</w:t>
      </w:r>
      <w:r>
        <w:rPr>
          <w:rFonts w:hint="eastAsia" w:ascii="仿宋" w:hAnsi="仿宋" w:eastAsia="仿宋"/>
          <w:kern w:val="0"/>
          <w:sz w:val="32"/>
          <w:szCs w:val="32"/>
        </w:rPr>
        <w:t>万元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。截至</w:t>
      </w:r>
      <w:r>
        <w:rPr>
          <w:rFonts w:hint="eastAsia" w:ascii="仿宋" w:hAnsi="仿宋" w:eastAsia="仿宋"/>
          <w:kern w:val="0"/>
          <w:sz w:val="32"/>
          <w:szCs w:val="32"/>
        </w:rPr>
        <w:t>201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年底，经开区政府债务余额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514292</w:t>
      </w:r>
      <w:r>
        <w:rPr>
          <w:rFonts w:hint="eastAsia" w:ascii="仿宋" w:hAnsi="仿宋" w:eastAsia="仿宋"/>
          <w:kern w:val="0"/>
          <w:sz w:val="32"/>
          <w:szCs w:val="32"/>
        </w:rPr>
        <w:t>万元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（</w:t>
      </w:r>
      <w:r>
        <w:rPr>
          <w:rFonts w:hint="eastAsia" w:ascii="仿宋" w:hAnsi="仿宋" w:eastAsia="仿宋"/>
          <w:snapToGrid w:val="0"/>
          <w:kern w:val="0"/>
          <w:sz w:val="32"/>
          <w:szCs w:val="32"/>
          <w:lang w:eastAsia="zh-CN"/>
        </w:rPr>
        <w:t>其中：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一般债务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179933</w:t>
      </w:r>
      <w:r>
        <w:rPr>
          <w:rFonts w:hint="eastAsia" w:ascii="仿宋" w:hAnsi="仿宋" w:eastAsia="仿宋"/>
          <w:kern w:val="0"/>
          <w:sz w:val="32"/>
          <w:szCs w:val="32"/>
        </w:rPr>
        <w:t>万元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，专项债务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334359</w:t>
      </w:r>
      <w:r>
        <w:rPr>
          <w:rFonts w:hint="eastAsia" w:ascii="仿宋" w:hAnsi="仿宋" w:eastAsia="仿宋"/>
          <w:kern w:val="0"/>
          <w:sz w:val="32"/>
          <w:szCs w:val="32"/>
        </w:rPr>
        <w:t>万元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）；债务余额严格控制在上级核定的限额内。</w:t>
      </w:r>
    </w:p>
    <w:p>
      <w:pPr>
        <w:numPr>
          <w:ilvl w:val="0"/>
          <w:numId w:val="5"/>
        </w:num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预算绩效开展情况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" w:hAnsi="仿宋" w:eastAsia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2018</w:t>
      </w:r>
      <w:r>
        <w:rPr>
          <w:rFonts w:hint="eastAsia" w:ascii="仿宋" w:hAnsi="仿宋" w:eastAsia="仿宋" w:cs="仿宋"/>
          <w:snapToGrid w:val="0"/>
          <w:color w:val="auto"/>
          <w:kern w:val="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经开区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财政局围绕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项目建设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等重点支出，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中小企业事务市政项目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个财政支出项目开展了重点绩效评价，涉及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本级财政资金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3793.2万元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，其中，绩效评价等级“优秀”的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项、“良好”的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项、“一般”的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项。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重点评价结果首次向社会主动公开，并应用于2019年部门预算编制，</w:t>
      </w:r>
      <w:r>
        <w:rPr>
          <w:rFonts w:hint="eastAsia" w:ascii="仿宋" w:hAnsi="仿宋" w:eastAsia="仿宋" w:cs="仿宋_GB2312"/>
          <w:color w:val="auto"/>
          <w:sz w:val="32"/>
          <w:szCs w:val="32"/>
          <w:highlight w:val="none"/>
        </w:rPr>
        <w:t>其中，资金量调减的</w:t>
      </w:r>
      <w:r>
        <w:rPr>
          <w:rFonts w:hint="eastAsia" w:ascii="仿宋" w:hAnsi="仿宋" w:eastAsia="仿宋" w:cs="仿宋_GB2312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_GB2312"/>
          <w:color w:val="auto"/>
          <w:sz w:val="32"/>
          <w:szCs w:val="32"/>
          <w:highlight w:val="none"/>
        </w:rPr>
        <w:t>项，予以整合的2项。</w:t>
      </w:r>
    </w:p>
    <w:p>
      <w:pPr>
        <w:spacing w:line="600" w:lineRule="exact"/>
        <w:ind w:firstLine="620"/>
        <w:rPr>
          <w:rFonts w:ascii="仿宋" w:hAnsi="仿宋" w:eastAsia="仿宋"/>
          <w:color w:val="auto"/>
          <w:sz w:val="32"/>
          <w:szCs w:val="32"/>
          <w:highlight w:val="none"/>
        </w:rPr>
      </w:pP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DA34EE"/>
    <w:multiLevelType w:val="singleLevel"/>
    <w:tmpl w:val="89DA34E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968C56A3"/>
    <w:multiLevelType w:val="singleLevel"/>
    <w:tmpl w:val="968C56A3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632369C4"/>
    <w:multiLevelType w:val="singleLevel"/>
    <w:tmpl w:val="632369C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4CD8A4A"/>
    <w:multiLevelType w:val="singleLevel"/>
    <w:tmpl w:val="64CD8A4A"/>
    <w:lvl w:ilvl="0" w:tentative="0">
      <w:start w:val="2"/>
      <w:numFmt w:val="decimal"/>
      <w:suff w:val="space"/>
      <w:lvlText w:val="%1."/>
      <w:lvlJc w:val="left"/>
    </w:lvl>
  </w:abstractNum>
  <w:abstractNum w:abstractNumId="4">
    <w:nsid w:val="7D0B51B6"/>
    <w:multiLevelType w:val="singleLevel"/>
    <w:tmpl w:val="7D0B51B6"/>
    <w:lvl w:ilvl="0" w:tentative="0">
      <w:start w:val="2"/>
      <w:numFmt w:val="decimal"/>
      <w:suff w:val="space"/>
      <w:lvlText w:val="%1.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75A2"/>
    <w:rsid w:val="000016BA"/>
    <w:rsid w:val="000263AA"/>
    <w:rsid w:val="000306E8"/>
    <w:rsid w:val="00032F03"/>
    <w:rsid w:val="00041C17"/>
    <w:rsid w:val="000C4FAE"/>
    <w:rsid w:val="000E6199"/>
    <w:rsid w:val="000F2D3B"/>
    <w:rsid w:val="001056C6"/>
    <w:rsid w:val="001414D4"/>
    <w:rsid w:val="00183708"/>
    <w:rsid w:val="001844F8"/>
    <w:rsid w:val="001B3B79"/>
    <w:rsid w:val="00263DF2"/>
    <w:rsid w:val="00294672"/>
    <w:rsid w:val="002B07B3"/>
    <w:rsid w:val="002E1B76"/>
    <w:rsid w:val="00305073"/>
    <w:rsid w:val="0031192E"/>
    <w:rsid w:val="00321C9C"/>
    <w:rsid w:val="003343AF"/>
    <w:rsid w:val="00334E19"/>
    <w:rsid w:val="00373EA3"/>
    <w:rsid w:val="003817F4"/>
    <w:rsid w:val="003853E7"/>
    <w:rsid w:val="0039731D"/>
    <w:rsid w:val="003F25B7"/>
    <w:rsid w:val="003F3DE2"/>
    <w:rsid w:val="003F4902"/>
    <w:rsid w:val="003F5D94"/>
    <w:rsid w:val="003F719F"/>
    <w:rsid w:val="004B5899"/>
    <w:rsid w:val="004C514B"/>
    <w:rsid w:val="00507787"/>
    <w:rsid w:val="0052618E"/>
    <w:rsid w:val="00552888"/>
    <w:rsid w:val="005570B2"/>
    <w:rsid w:val="005813A4"/>
    <w:rsid w:val="00593D76"/>
    <w:rsid w:val="005959D6"/>
    <w:rsid w:val="005A31B2"/>
    <w:rsid w:val="005C37DD"/>
    <w:rsid w:val="005D6F6D"/>
    <w:rsid w:val="005E3249"/>
    <w:rsid w:val="00600E8B"/>
    <w:rsid w:val="00643B1C"/>
    <w:rsid w:val="00670A2C"/>
    <w:rsid w:val="00695528"/>
    <w:rsid w:val="00695606"/>
    <w:rsid w:val="006B10B0"/>
    <w:rsid w:val="006D123A"/>
    <w:rsid w:val="006E539A"/>
    <w:rsid w:val="00704D6B"/>
    <w:rsid w:val="00716725"/>
    <w:rsid w:val="00742E6E"/>
    <w:rsid w:val="00763D5F"/>
    <w:rsid w:val="00792079"/>
    <w:rsid w:val="007A64BF"/>
    <w:rsid w:val="007C09F6"/>
    <w:rsid w:val="007C1902"/>
    <w:rsid w:val="007C76AB"/>
    <w:rsid w:val="00840BEA"/>
    <w:rsid w:val="008637F8"/>
    <w:rsid w:val="00873099"/>
    <w:rsid w:val="008753E2"/>
    <w:rsid w:val="008B3A62"/>
    <w:rsid w:val="008C3812"/>
    <w:rsid w:val="008D278B"/>
    <w:rsid w:val="008D3D1A"/>
    <w:rsid w:val="008E185A"/>
    <w:rsid w:val="008E34BB"/>
    <w:rsid w:val="00901ADD"/>
    <w:rsid w:val="0090622F"/>
    <w:rsid w:val="00924470"/>
    <w:rsid w:val="00940D05"/>
    <w:rsid w:val="00943FC1"/>
    <w:rsid w:val="00947FC8"/>
    <w:rsid w:val="00955E33"/>
    <w:rsid w:val="0097304E"/>
    <w:rsid w:val="0097665B"/>
    <w:rsid w:val="00995D4A"/>
    <w:rsid w:val="009D017C"/>
    <w:rsid w:val="009D7E3C"/>
    <w:rsid w:val="009E7896"/>
    <w:rsid w:val="00A94E23"/>
    <w:rsid w:val="00A96550"/>
    <w:rsid w:val="00AC6DFA"/>
    <w:rsid w:val="00AF5AAB"/>
    <w:rsid w:val="00BA3459"/>
    <w:rsid w:val="00BB6F33"/>
    <w:rsid w:val="00BB75A2"/>
    <w:rsid w:val="00BC6A85"/>
    <w:rsid w:val="00BE6904"/>
    <w:rsid w:val="00BF5D55"/>
    <w:rsid w:val="00C06895"/>
    <w:rsid w:val="00C13853"/>
    <w:rsid w:val="00C32E9A"/>
    <w:rsid w:val="00C40992"/>
    <w:rsid w:val="00C453AF"/>
    <w:rsid w:val="00C72BAF"/>
    <w:rsid w:val="00C91861"/>
    <w:rsid w:val="00C968D6"/>
    <w:rsid w:val="00CA38BA"/>
    <w:rsid w:val="00CE025D"/>
    <w:rsid w:val="00CF3785"/>
    <w:rsid w:val="00D021BD"/>
    <w:rsid w:val="00D061B3"/>
    <w:rsid w:val="00D14FFE"/>
    <w:rsid w:val="00D242BE"/>
    <w:rsid w:val="00D27198"/>
    <w:rsid w:val="00D95EBA"/>
    <w:rsid w:val="00DA54B1"/>
    <w:rsid w:val="00DA649F"/>
    <w:rsid w:val="00DA70DF"/>
    <w:rsid w:val="00DC3217"/>
    <w:rsid w:val="00DD6FFD"/>
    <w:rsid w:val="00DF203F"/>
    <w:rsid w:val="00E21E0B"/>
    <w:rsid w:val="00E56006"/>
    <w:rsid w:val="00E811E0"/>
    <w:rsid w:val="00E86A2E"/>
    <w:rsid w:val="00E9536D"/>
    <w:rsid w:val="00EA3CD8"/>
    <w:rsid w:val="00EF3B44"/>
    <w:rsid w:val="00EF7F8B"/>
    <w:rsid w:val="00F1049E"/>
    <w:rsid w:val="00F234EB"/>
    <w:rsid w:val="00F44752"/>
    <w:rsid w:val="00F900E4"/>
    <w:rsid w:val="00FB0AB6"/>
    <w:rsid w:val="00FD408B"/>
    <w:rsid w:val="00FE31E0"/>
    <w:rsid w:val="030D557A"/>
    <w:rsid w:val="03BB05EA"/>
    <w:rsid w:val="03F67F2D"/>
    <w:rsid w:val="04BD03F3"/>
    <w:rsid w:val="04C461B1"/>
    <w:rsid w:val="04D659DC"/>
    <w:rsid w:val="04FC2422"/>
    <w:rsid w:val="067925CB"/>
    <w:rsid w:val="071D4DB8"/>
    <w:rsid w:val="077403B0"/>
    <w:rsid w:val="08027501"/>
    <w:rsid w:val="083610FB"/>
    <w:rsid w:val="08452360"/>
    <w:rsid w:val="098A732F"/>
    <w:rsid w:val="0B8B3FBA"/>
    <w:rsid w:val="0BC07B9B"/>
    <w:rsid w:val="0BF22900"/>
    <w:rsid w:val="0CD92BCC"/>
    <w:rsid w:val="0D5744D3"/>
    <w:rsid w:val="0F4749E8"/>
    <w:rsid w:val="0F626A6F"/>
    <w:rsid w:val="10E54541"/>
    <w:rsid w:val="11521EDE"/>
    <w:rsid w:val="1171207A"/>
    <w:rsid w:val="11BF35AB"/>
    <w:rsid w:val="12063B34"/>
    <w:rsid w:val="12190E2C"/>
    <w:rsid w:val="1401498B"/>
    <w:rsid w:val="140F3B09"/>
    <w:rsid w:val="14354188"/>
    <w:rsid w:val="143566AD"/>
    <w:rsid w:val="14B41681"/>
    <w:rsid w:val="14DF00DD"/>
    <w:rsid w:val="16D32C63"/>
    <w:rsid w:val="17A31760"/>
    <w:rsid w:val="188B5609"/>
    <w:rsid w:val="18A07EE9"/>
    <w:rsid w:val="19536EB8"/>
    <w:rsid w:val="1A450757"/>
    <w:rsid w:val="1AFC6934"/>
    <w:rsid w:val="1B7554E0"/>
    <w:rsid w:val="1D4B66FB"/>
    <w:rsid w:val="1DB76901"/>
    <w:rsid w:val="1DE34061"/>
    <w:rsid w:val="1E45619A"/>
    <w:rsid w:val="1E573265"/>
    <w:rsid w:val="1EC235DB"/>
    <w:rsid w:val="20315F72"/>
    <w:rsid w:val="216E26A6"/>
    <w:rsid w:val="236B5448"/>
    <w:rsid w:val="23A428F4"/>
    <w:rsid w:val="24751E31"/>
    <w:rsid w:val="24AC23A5"/>
    <w:rsid w:val="24E84195"/>
    <w:rsid w:val="25143435"/>
    <w:rsid w:val="25507EF2"/>
    <w:rsid w:val="259D7316"/>
    <w:rsid w:val="272C5CC7"/>
    <w:rsid w:val="28AE5B28"/>
    <w:rsid w:val="28D36CA5"/>
    <w:rsid w:val="297228AD"/>
    <w:rsid w:val="29E61E69"/>
    <w:rsid w:val="2A3115C4"/>
    <w:rsid w:val="2AB373BF"/>
    <w:rsid w:val="2AFF4D96"/>
    <w:rsid w:val="2B124E1B"/>
    <w:rsid w:val="2BDB10C8"/>
    <w:rsid w:val="2DA95CEB"/>
    <w:rsid w:val="2DEA0B34"/>
    <w:rsid w:val="2E0A7C9B"/>
    <w:rsid w:val="2E5F3E77"/>
    <w:rsid w:val="2E6D5BC2"/>
    <w:rsid w:val="313747C6"/>
    <w:rsid w:val="314462B2"/>
    <w:rsid w:val="3234697F"/>
    <w:rsid w:val="327E6261"/>
    <w:rsid w:val="33892710"/>
    <w:rsid w:val="33FD2FAA"/>
    <w:rsid w:val="34082B15"/>
    <w:rsid w:val="345B6396"/>
    <w:rsid w:val="34B61F71"/>
    <w:rsid w:val="35092CBB"/>
    <w:rsid w:val="350F3C27"/>
    <w:rsid w:val="359508B3"/>
    <w:rsid w:val="36851232"/>
    <w:rsid w:val="372E6605"/>
    <w:rsid w:val="37493514"/>
    <w:rsid w:val="388C0E13"/>
    <w:rsid w:val="39D758C5"/>
    <w:rsid w:val="3A5A2B4C"/>
    <w:rsid w:val="3A6E2E89"/>
    <w:rsid w:val="3A82614C"/>
    <w:rsid w:val="3AD555D2"/>
    <w:rsid w:val="3C5071CB"/>
    <w:rsid w:val="3C8C5C8D"/>
    <w:rsid w:val="3CA82B5F"/>
    <w:rsid w:val="3E9526F2"/>
    <w:rsid w:val="3EA80852"/>
    <w:rsid w:val="3F1624D0"/>
    <w:rsid w:val="3F795796"/>
    <w:rsid w:val="40C8691D"/>
    <w:rsid w:val="418D056B"/>
    <w:rsid w:val="41A859D9"/>
    <w:rsid w:val="41B914E5"/>
    <w:rsid w:val="423F1B78"/>
    <w:rsid w:val="42E0112C"/>
    <w:rsid w:val="42FE4C10"/>
    <w:rsid w:val="431452B4"/>
    <w:rsid w:val="43B67227"/>
    <w:rsid w:val="44BB0A5F"/>
    <w:rsid w:val="450D2CA2"/>
    <w:rsid w:val="45B03CEA"/>
    <w:rsid w:val="45FA10F5"/>
    <w:rsid w:val="471B66D8"/>
    <w:rsid w:val="476D36DF"/>
    <w:rsid w:val="482A0A72"/>
    <w:rsid w:val="48EC1061"/>
    <w:rsid w:val="49084A39"/>
    <w:rsid w:val="492E2DDC"/>
    <w:rsid w:val="49484906"/>
    <w:rsid w:val="49C10519"/>
    <w:rsid w:val="4A897D68"/>
    <w:rsid w:val="4A9D768C"/>
    <w:rsid w:val="4B6518FC"/>
    <w:rsid w:val="4BB05937"/>
    <w:rsid w:val="4CF652D6"/>
    <w:rsid w:val="4D363766"/>
    <w:rsid w:val="4D43739A"/>
    <w:rsid w:val="4E2F6912"/>
    <w:rsid w:val="4E4046C5"/>
    <w:rsid w:val="4F9345C1"/>
    <w:rsid w:val="506A4462"/>
    <w:rsid w:val="50AD32F8"/>
    <w:rsid w:val="51A72490"/>
    <w:rsid w:val="51F7312F"/>
    <w:rsid w:val="51F85AEA"/>
    <w:rsid w:val="52366AD6"/>
    <w:rsid w:val="53295FAC"/>
    <w:rsid w:val="534F6A1B"/>
    <w:rsid w:val="55884D3F"/>
    <w:rsid w:val="57F9476E"/>
    <w:rsid w:val="588D74E6"/>
    <w:rsid w:val="591D64ED"/>
    <w:rsid w:val="594335B6"/>
    <w:rsid w:val="5A6A2249"/>
    <w:rsid w:val="5B475B65"/>
    <w:rsid w:val="5B4F3625"/>
    <w:rsid w:val="5BD86B31"/>
    <w:rsid w:val="5F0618B2"/>
    <w:rsid w:val="5F5B5FFC"/>
    <w:rsid w:val="5FC12913"/>
    <w:rsid w:val="5FD8176D"/>
    <w:rsid w:val="5FF25FCD"/>
    <w:rsid w:val="600D7D92"/>
    <w:rsid w:val="61606D8F"/>
    <w:rsid w:val="623F65DB"/>
    <w:rsid w:val="65183020"/>
    <w:rsid w:val="652F2C96"/>
    <w:rsid w:val="65F20EF3"/>
    <w:rsid w:val="66164F39"/>
    <w:rsid w:val="66846F11"/>
    <w:rsid w:val="67224837"/>
    <w:rsid w:val="67CD1915"/>
    <w:rsid w:val="68101078"/>
    <w:rsid w:val="68363314"/>
    <w:rsid w:val="69143B3F"/>
    <w:rsid w:val="6A503CCD"/>
    <w:rsid w:val="6BA74D6E"/>
    <w:rsid w:val="6C6B512E"/>
    <w:rsid w:val="6CB45837"/>
    <w:rsid w:val="6E001502"/>
    <w:rsid w:val="6F64442C"/>
    <w:rsid w:val="70971A56"/>
    <w:rsid w:val="718D34D7"/>
    <w:rsid w:val="731C7BCC"/>
    <w:rsid w:val="7357480D"/>
    <w:rsid w:val="743F3C98"/>
    <w:rsid w:val="74872EB4"/>
    <w:rsid w:val="7573192F"/>
    <w:rsid w:val="758A7ACE"/>
    <w:rsid w:val="766E7D79"/>
    <w:rsid w:val="770668E2"/>
    <w:rsid w:val="77611A13"/>
    <w:rsid w:val="777D6C85"/>
    <w:rsid w:val="778C000E"/>
    <w:rsid w:val="78726BCE"/>
    <w:rsid w:val="79625320"/>
    <w:rsid w:val="79B213FC"/>
    <w:rsid w:val="7A377E20"/>
    <w:rsid w:val="7A75219E"/>
    <w:rsid w:val="7B4920E5"/>
    <w:rsid w:val="7C015751"/>
    <w:rsid w:val="7D092A95"/>
    <w:rsid w:val="7E3F2F1C"/>
    <w:rsid w:val="7EE86EA1"/>
    <w:rsid w:val="7FF4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337</Words>
  <Characters>1924</Characters>
  <Lines>16</Lines>
  <Paragraphs>4</Paragraphs>
  <TotalTime>2</TotalTime>
  <ScaleCrop>false</ScaleCrop>
  <LinksUpToDate>false</LinksUpToDate>
  <CharactersWithSpaces>2257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2018-01-15T07:01:00Z</dcterms:created>
  <dc:creator>Administrator</dc:creator>
  <cp:lastModifiedBy>Administrator</cp:lastModifiedBy>
  <cp:lastPrinted>2019-05-07T02:16:00Z</cp:lastPrinted>
  <dcterms:modified xsi:type="dcterms:W3CDTF">2019-05-29T02:58:08Z</dcterms:modified>
  <cp:revision>163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