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eastAsia"/>
          <w:sz w:val="44"/>
          <w:szCs w:val="44"/>
        </w:rPr>
      </w:pPr>
    </w:p>
    <w:p>
      <w:pPr>
        <w:spacing w:line="560" w:lineRule="exact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龙岩经济技术开发区（龙岩高新区）</w:t>
      </w:r>
    </w:p>
    <w:p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关于20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20</w:t>
      </w:r>
      <w:r>
        <w:rPr>
          <w:rFonts w:hint="eastAsia" w:ascii="方正小标宋简体" w:eastAsia="方正小标宋简体"/>
          <w:sz w:val="44"/>
          <w:szCs w:val="44"/>
        </w:rPr>
        <w:t>年预算相关重要事项说明</w:t>
      </w:r>
    </w:p>
    <w:p>
      <w:pPr>
        <w:spacing w:line="560" w:lineRule="exact"/>
        <w:jc w:val="center"/>
        <w:rPr>
          <w:sz w:val="44"/>
          <w:szCs w:val="44"/>
        </w:rPr>
      </w:pPr>
    </w:p>
    <w:p>
      <w:pPr>
        <w:widowControl/>
        <w:shd w:val="clear" w:color="auto" w:fill="FFFFFF"/>
        <w:spacing w:line="560" w:lineRule="exact"/>
        <w:ind w:firstLine="800" w:firstLineChars="250"/>
        <w:jc w:val="left"/>
        <w:rPr>
          <w:rFonts w:ascii="黑体" w:hAnsi="黑体" w:eastAsia="黑体" w:cs="宋体"/>
          <w:color w:val="666666"/>
          <w:kern w:val="0"/>
          <w:szCs w:val="21"/>
        </w:rPr>
      </w:pPr>
      <w:r>
        <w:rPr>
          <w:rFonts w:hint="eastAsia" w:ascii="黑体" w:hAnsi="黑体" w:eastAsia="黑体" w:cs="宋体"/>
          <w:bCs/>
          <w:color w:val="000000"/>
          <w:kern w:val="0"/>
          <w:sz w:val="32"/>
          <w:szCs w:val="32"/>
        </w:rPr>
        <w:t>一、开发区本级支出预算说明</w:t>
      </w:r>
    </w:p>
    <w:p>
      <w:pPr>
        <w:pBdr>
          <w:bottom w:val="single" w:color="FFFFFF" w:sz="4" w:space="31"/>
        </w:pBdr>
        <w:adjustRightInd w:val="0"/>
        <w:spacing w:line="560" w:lineRule="exact"/>
        <w:ind w:firstLine="640" w:firstLineChars="200"/>
        <w:rPr>
          <w:rFonts w:hint="eastAsia" w:ascii="仿宋_GB2312" w:hAnsi="宋体" w:eastAsia="仿宋" w:cs="宋体"/>
          <w:color w:val="111111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color w:val="111111"/>
          <w:sz w:val="32"/>
          <w:szCs w:val="32"/>
        </w:rPr>
        <w:t>20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val="en-US" w:eastAsia="zh-CN"/>
        </w:rPr>
        <w:t>20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年度开发区一般公共预算支出数为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val="en-US" w:eastAsia="zh-CN"/>
        </w:rPr>
        <w:t>38288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万元，比20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val="en-US" w:eastAsia="zh-CN"/>
        </w:rPr>
        <w:t>19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年度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eastAsia="zh-CN"/>
        </w:rPr>
        <w:t>预算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数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eastAsia="zh-CN"/>
        </w:rPr>
        <w:t>增加</w:t>
      </w:r>
      <w:r>
        <w:rPr>
          <w:rFonts w:hint="eastAsia" w:ascii="仿宋_GB2312" w:hAnsi="宋体" w:eastAsia="仿宋_GB2312" w:cs="宋体"/>
          <w:color w:val="111111"/>
          <w:sz w:val="32"/>
          <w:szCs w:val="32"/>
          <w:highlight w:val="none"/>
          <w:lang w:val="en-US" w:eastAsia="zh-CN"/>
        </w:rPr>
        <w:t>4732</w:t>
      </w:r>
      <w:r>
        <w:rPr>
          <w:rFonts w:hint="eastAsia" w:ascii="仿宋_GB2312" w:hAnsi="宋体" w:eastAsia="仿宋_GB2312" w:cs="宋体"/>
          <w:color w:val="111111"/>
          <w:sz w:val="32"/>
          <w:szCs w:val="32"/>
          <w:highlight w:val="none"/>
        </w:rPr>
        <w:t>万元，</w:t>
      </w:r>
      <w:r>
        <w:rPr>
          <w:rFonts w:hint="eastAsia" w:ascii="仿宋" w:hAnsi="仿宋" w:eastAsia="仿宋"/>
          <w:color w:val="auto"/>
          <w:kern w:val="0"/>
          <w:sz w:val="32"/>
          <w:szCs w:val="32"/>
          <w:highlight w:val="none"/>
        </w:rPr>
        <w:t>增长</w:t>
      </w:r>
      <w:r>
        <w:rPr>
          <w:rFonts w:hint="eastAsia" w:ascii="仿宋_GB2312" w:hAnsi="宋体" w:eastAsia="仿宋_GB2312" w:cs="宋体"/>
          <w:color w:val="111111"/>
          <w:sz w:val="32"/>
          <w:szCs w:val="32"/>
          <w:highlight w:val="none"/>
          <w:lang w:val="en-US" w:eastAsia="zh-CN"/>
        </w:rPr>
        <w:t>14.1</w:t>
      </w:r>
      <w:r>
        <w:rPr>
          <w:rFonts w:hint="eastAsia" w:ascii="仿宋_GB2312" w:hAnsi="宋体" w:eastAsia="仿宋_GB2312" w:cs="宋体"/>
          <w:color w:val="111111"/>
          <w:sz w:val="32"/>
          <w:szCs w:val="32"/>
          <w:highlight w:val="none"/>
        </w:rPr>
        <w:t>%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。具体情况如下</w:t>
      </w:r>
      <w:r>
        <w:rPr>
          <w:rFonts w:hint="eastAsia" w:ascii="仿宋" w:hAnsi="仿宋" w:eastAsia="仿宋" w:cs="Arial"/>
          <w:color w:val="auto"/>
          <w:kern w:val="0"/>
          <w:sz w:val="32"/>
          <w:szCs w:val="32"/>
          <w:highlight w:val="none"/>
        </w:rPr>
        <w:t>（分款级科目表述</w:t>
      </w:r>
      <w:r>
        <w:rPr>
          <w:rFonts w:hint="eastAsia" w:ascii="仿宋" w:hAnsi="仿宋" w:eastAsia="仿宋" w:cs="Arial"/>
          <w:color w:val="auto"/>
          <w:kern w:val="0"/>
          <w:sz w:val="32"/>
          <w:szCs w:val="32"/>
          <w:highlight w:val="none"/>
          <w:lang w:eastAsia="zh-CN"/>
        </w:rPr>
        <w:t>）：</w:t>
      </w:r>
    </w:p>
    <w:p>
      <w:pPr>
        <w:pBdr>
          <w:bottom w:val="single" w:color="FFFFFF" w:sz="4" w:space="31"/>
        </w:pBdr>
        <w:adjustRightInd w:val="0"/>
        <w:spacing w:line="560" w:lineRule="exact"/>
        <w:ind w:firstLine="640" w:firstLineChars="200"/>
        <w:rPr>
          <w:rFonts w:hint="eastAsia" w:ascii="仿宋_GB2312" w:hAnsi="宋体" w:eastAsia="仿宋_GB2312" w:cs="宋体"/>
          <w:color w:val="111111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color w:val="111111"/>
          <w:sz w:val="32"/>
          <w:szCs w:val="32"/>
        </w:rPr>
        <w:t>（一）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val="en-US" w:eastAsia="zh-CN"/>
        </w:rPr>
        <w:t>201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一般公共服务支出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val="en-US" w:eastAsia="zh-CN"/>
        </w:rPr>
        <w:t>7085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万元，较上年</w:t>
      </w:r>
      <w:r>
        <w:rPr>
          <w:rFonts w:hint="eastAsia" w:ascii="仿宋" w:hAnsi="仿宋" w:eastAsia="仿宋" w:cs="仿宋"/>
          <w:b w:val="0"/>
          <w:i w:val="0"/>
          <w:color w:val="auto"/>
          <w:sz w:val="32"/>
          <w:szCs w:val="32"/>
          <w:highlight w:val="none"/>
          <w:u w:val="none"/>
          <w:lang w:eastAsia="zh-CN"/>
        </w:rPr>
        <w:t>预算数增加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val="en-US" w:eastAsia="zh-CN"/>
        </w:rPr>
        <w:t>1224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万元，</w:t>
      </w:r>
      <w:r>
        <w:rPr>
          <w:rFonts w:hint="eastAsia" w:ascii="仿宋" w:hAnsi="仿宋" w:eastAsia="仿宋"/>
          <w:color w:val="auto"/>
          <w:kern w:val="0"/>
          <w:sz w:val="32"/>
          <w:szCs w:val="32"/>
          <w:highlight w:val="none"/>
        </w:rPr>
        <w:t>增长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val="en-US" w:eastAsia="zh-CN"/>
        </w:rPr>
        <w:t>20.9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%。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val="en-US" w:eastAsia="zh-CN"/>
        </w:rPr>
        <w:t>主要原因是增加海关在陆地港办公所需费用、增加陆地港进出口标箱政策性补贴、增加人民银行补助资金、2020年增加未支付东肖及红坊各项经费。其中：</w:t>
      </w:r>
    </w:p>
    <w:p>
      <w:pPr>
        <w:pBdr>
          <w:bottom w:val="single" w:color="FFFFFF" w:sz="4" w:space="31"/>
        </w:pBdr>
        <w:adjustRightInd w:val="0"/>
        <w:spacing w:line="560" w:lineRule="exact"/>
        <w:ind w:firstLine="640" w:firstLineChars="200"/>
        <w:rPr>
          <w:rFonts w:hint="eastAsia" w:ascii="仿宋_GB2312" w:hAnsi="宋体" w:eastAsia="仿宋_GB2312" w:cs="宋体"/>
          <w:color w:val="111111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color w:val="111111"/>
          <w:sz w:val="32"/>
          <w:szCs w:val="32"/>
        </w:rPr>
        <w:t>1.</w:t>
      </w:r>
      <w:r>
        <w:rPr>
          <w:rFonts w:ascii="仿宋_GB2312" w:hAnsi="宋体" w:eastAsia="仿宋_GB2312" w:cs="宋体"/>
          <w:color w:val="111111"/>
          <w:sz w:val="32"/>
          <w:szCs w:val="32"/>
        </w:rPr>
        <w:t>20103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政府办公厅(室)及相关机构事务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val="en-US" w:eastAsia="zh-CN"/>
        </w:rPr>
        <w:t>1717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万元，较上年</w:t>
      </w:r>
      <w:r>
        <w:rPr>
          <w:rFonts w:hint="eastAsia" w:ascii="仿宋" w:hAnsi="仿宋" w:eastAsia="仿宋" w:cs="仿宋"/>
          <w:b w:val="0"/>
          <w:i w:val="0"/>
          <w:color w:val="auto"/>
          <w:sz w:val="32"/>
          <w:szCs w:val="32"/>
          <w:highlight w:val="none"/>
          <w:u w:val="none"/>
          <w:lang w:eastAsia="zh-CN"/>
        </w:rPr>
        <w:t>预算数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eastAsia="zh-CN"/>
        </w:rPr>
        <w:t>增加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val="en-US" w:eastAsia="zh-CN"/>
        </w:rPr>
        <w:t>42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万元，</w:t>
      </w:r>
      <w:r>
        <w:rPr>
          <w:rFonts w:hint="eastAsia" w:ascii="仿宋" w:hAnsi="仿宋" w:eastAsia="仿宋"/>
          <w:color w:val="auto"/>
          <w:kern w:val="0"/>
          <w:sz w:val="32"/>
          <w:szCs w:val="32"/>
          <w:highlight w:val="none"/>
        </w:rPr>
        <w:t>增长</w:t>
      </w:r>
      <w:r>
        <w:rPr>
          <w:rFonts w:hint="eastAsia" w:ascii="仿宋" w:hAnsi="仿宋" w:eastAsia="仿宋"/>
          <w:color w:val="auto"/>
          <w:kern w:val="0"/>
          <w:sz w:val="32"/>
          <w:szCs w:val="32"/>
          <w:highlight w:val="none"/>
          <w:lang w:val="en-US" w:eastAsia="zh-CN"/>
        </w:rPr>
        <w:t>2.5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%。主要原因是海关在陆地港办公所需费用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eastAsia="zh-CN"/>
        </w:rPr>
        <w:t>增加。</w:t>
      </w:r>
    </w:p>
    <w:p>
      <w:pPr>
        <w:numPr>
          <w:ilvl w:val="0"/>
          <w:numId w:val="0"/>
        </w:numPr>
        <w:pBdr>
          <w:bottom w:val="single" w:color="FFFFFF" w:sz="4" w:space="31"/>
        </w:pBdr>
        <w:adjustRightInd w:val="0"/>
        <w:spacing w:line="560" w:lineRule="exact"/>
        <w:rPr>
          <w:rFonts w:hint="eastAsia" w:ascii="仿宋_GB2312" w:hAnsi="宋体" w:eastAsia="仿宋_GB2312" w:cs="宋体"/>
          <w:color w:val="111111"/>
          <w:sz w:val="32"/>
          <w:szCs w:val="32"/>
        </w:rPr>
      </w:pPr>
      <w:r>
        <w:rPr>
          <w:rFonts w:hint="eastAsia" w:ascii="仿宋_GB2312" w:hAnsi="宋体" w:eastAsia="仿宋_GB2312" w:cs="宋体"/>
          <w:color w:val="111111"/>
          <w:sz w:val="32"/>
          <w:szCs w:val="32"/>
          <w:lang w:eastAsia="zh-CN"/>
        </w:rPr>
        <w:t>　　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val="en-US" w:eastAsia="zh-CN"/>
        </w:rPr>
        <w:t>2.</w:t>
      </w:r>
      <w:r>
        <w:rPr>
          <w:rFonts w:ascii="仿宋_GB2312" w:hAnsi="宋体" w:eastAsia="仿宋_GB2312" w:cs="宋体"/>
          <w:color w:val="111111"/>
          <w:sz w:val="32"/>
          <w:szCs w:val="32"/>
        </w:rPr>
        <w:t>201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val="en-US" w:eastAsia="zh-CN"/>
        </w:rPr>
        <w:t>05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统计信息事务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万元，较上年</w:t>
      </w:r>
      <w:r>
        <w:rPr>
          <w:rFonts w:hint="eastAsia" w:ascii="仿宋" w:hAnsi="仿宋" w:eastAsia="仿宋" w:cs="仿宋"/>
          <w:b w:val="0"/>
          <w:i w:val="0"/>
          <w:color w:val="auto"/>
          <w:sz w:val="32"/>
          <w:szCs w:val="32"/>
          <w:highlight w:val="none"/>
          <w:u w:val="none"/>
          <w:lang w:eastAsia="zh-CN"/>
        </w:rPr>
        <w:t>预算数减少</w:t>
      </w:r>
      <w:r>
        <w:rPr>
          <w:rFonts w:hint="eastAsia" w:ascii="仿宋" w:hAnsi="仿宋" w:eastAsia="仿宋" w:cs="仿宋"/>
          <w:b w:val="0"/>
          <w:i w:val="0"/>
          <w:color w:val="auto"/>
          <w:sz w:val="32"/>
          <w:szCs w:val="32"/>
          <w:highlight w:val="none"/>
          <w:u w:val="none"/>
          <w:lang w:val="en-US" w:eastAsia="zh-CN"/>
        </w:rPr>
        <w:t>0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万元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b w:val="0"/>
          <w:i w:val="0"/>
          <w:color w:val="auto"/>
          <w:sz w:val="32"/>
          <w:szCs w:val="32"/>
          <w:highlight w:val="none"/>
          <w:u w:val="none"/>
          <w:lang w:eastAsia="zh-CN"/>
        </w:rPr>
        <w:t>下降100%。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主要原因是一般业务经费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eastAsia="zh-CN"/>
        </w:rPr>
        <w:t>减少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。</w:t>
      </w:r>
    </w:p>
    <w:p>
      <w:pPr>
        <w:numPr>
          <w:ilvl w:val="0"/>
          <w:numId w:val="0"/>
        </w:numPr>
        <w:pBdr>
          <w:bottom w:val="single" w:color="FFFFFF" w:sz="4" w:space="31"/>
        </w:pBdr>
        <w:adjustRightInd w:val="0"/>
        <w:spacing w:line="560" w:lineRule="exact"/>
        <w:rPr>
          <w:rFonts w:hint="eastAsia" w:ascii="仿宋_GB2312" w:hAnsi="宋体" w:eastAsia="仿宋_GB2312" w:cs="宋体"/>
          <w:color w:val="111111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color w:val="111111"/>
          <w:sz w:val="32"/>
          <w:szCs w:val="32"/>
          <w:highlight w:val="none"/>
          <w:lang w:val="en-US" w:eastAsia="zh-CN"/>
        </w:rPr>
        <w:t>　　3.20106财政事务225万元，</w:t>
      </w:r>
      <w:r>
        <w:rPr>
          <w:rFonts w:hint="eastAsia" w:ascii="仿宋_GB2312" w:hAnsi="宋体" w:eastAsia="仿宋_GB2312" w:cs="宋体"/>
          <w:color w:val="111111"/>
          <w:sz w:val="32"/>
          <w:szCs w:val="32"/>
          <w:highlight w:val="none"/>
        </w:rPr>
        <w:t>较上年</w:t>
      </w:r>
      <w:r>
        <w:rPr>
          <w:rFonts w:hint="eastAsia" w:ascii="仿宋" w:hAnsi="仿宋" w:eastAsia="仿宋" w:cs="仿宋"/>
          <w:b w:val="0"/>
          <w:i w:val="0"/>
          <w:color w:val="auto"/>
          <w:sz w:val="32"/>
          <w:szCs w:val="32"/>
          <w:highlight w:val="none"/>
          <w:u w:val="none"/>
          <w:lang w:eastAsia="zh-CN"/>
        </w:rPr>
        <w:t>预算数减少</w:t>
      </w:r>
      <w:r>
        <w:rPr>
          <w:rFonts w:hint="eastAsia" w:ascii="仿宋_GB2312" w:hAnsi="宋体" w:eastAsia="仿宋_GB2312" w:cs="宋体"/>
          <w:color w:val="111111"/>
          <w:sz w:val="32"/>
          <w:szCs w:val="32"/>
          <w:highlight w:val="none"/>
          <w:lang w:val="en-US" w:eastAsia="zh-CN"/>
        </w:rPr>
        <w:t>12</w:t>
      </w:r>
      <w:r>
        <w:rPr>
          <w:rFonts w:hint="eastAsia" w:ascii="仿宋_GB2312" w:hAnsi="宋体" w:eastAsia="仿宋_GB2312" w:cs="宋体"/>
          <w:color w:val="111111"/>
          <w:sz w:val="32"/>
          <w:szCs w:val="32"/>
          <w:highlight w:val="none"/>
        </w:rPr>
        <w:t>万元，下降</w:t>
      </w:r>
      <w:r>
        <w:rPr>
          <w:rFonts w:hint="eastAsia" w:ascii="仿宋_GB2312" w:hAnsi="宋体" w:eastAsia="仿宋_GB2312" w:cs="宋体"/>
          <w:color w:val="111111"/>
          <w:sz w:val="32"/>
          <w:szCs w:val="32"/>
          <w:highlight w:val="none"/>
          <w:lang w:val="en-US" w:eastAsia="zh-CN"/>
        </w:rPr>
        <w:t>5.1</w:t>
      </w:r>
      <w:r>
        <w:rPr>
          <w:rFonts w:hint="eastAsia" w:ascii="仿宋_GB2312" w:hAnsi="宋体" w:eastAsia="仿宋_GB2312" w:cs="宋体"/>
          <w:color w:val="111111"/>
          <w:sz w:val="32"/>
          <w:szCs w:val="32"/>
          <w:highlight w:val="none"/>
        </w:rPr>
        <w:t>%。主要原因是信息网络及软件系统管理维护</w:t>
      </w:r>
      <w:r>
        <w:rPr>
          <w:rFonts w:hint="eastAsia" w:ascii="仿宋_GB2312" w:hAnsi="宋体" w:eastAsia="仿宋_GB2312" w:cs="宋体"/>
          <w:color w:val="111111"/>
          <w:sz w:val="32"/>
          <w:szCs w:val="32"/>
          <w:highlight w:val="none"/>
          <w:lang w:eastAsia="zh-CN"/>
        </w:rPr>
        <w:t>费减少。</w:t>
      </w:r>
    </w:p>
    <w:p>
      <w:pPr>
        <w:numPr>
          <w:ilvl w:val="0"/>
          <w:numId w:val="0"/>
        </w:numPr>
        <w:pBdr>
          <w:bottom w:val="single" w:color="FFFFFF" w:sz="4" w:space="31"/>
        </w:pBdr>
        <w:adjustRightInd w:val="0"/>
        <w:spacing w:line="560" w:lineRule="exact"/>
        <w:rPr>
          <w:rFonts w:hint="eastAsia" w:ascii="仿宋_GB2312" w:hAnsi="宋体" w:eastAsia="仿宋_GB2312" w:cs="宋体"/>
          <w:color w:val="111111"/>
          <w:sz w:val="32"/>
          <w:szCs w:val="32"/>
        </w:rPr>
      </w:pPr>
      <w:r>
        <w:rPr>
          <w:rFonts w:hint="eastAsia" w:ascii="仿宋_GB2312" w:hAnsi="宋体" w:eastAsia="仿宋_GB2312" w:cs="宋体"/>
          <w:color w:val="111111"/>
          <w:sz w:val="32"/>
          <w:szCs w:val="32"/>
          <w:lang w:val="en-US" w:eastAsia="zh-CN"/>
        </w:rPr>
        <w:t>　　4.20107税收事务1480万元，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较上年</w:t>
      </w:r>
      <w:r>
        <w:rPr>
          <w:rFonts w:hint="eastAsia" w:ascii="仿宋" w:hAnsi="仿宋" w:eastAsia="仿宋" w:cs="仿宋"/>
          <w:b w:val="0"/>
          <w:i w:val="0"/>
          <w:color w:val="auto"/>
          <w:sz w:val="32"/>
          <w:szCs w:val="32"/>
          <w:highlight w:val="none"/>
          <w:u w:val="none"/>
          <w:lang w:eastAsia="zh-CN"/>
        </w:rPr>
        <w:t>预算数增加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val="en-US" w:eastAsia="zh-CN"/>
        </w:rPr>
        <w:t>130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eastAsia="zh-CN"/>
        </w:rPr>
        <w:t>增长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val="en-US" w:eastAsia="zh-CN"/>
        </w:rPr>
        <w:t>9.6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%。主要原因是</w:t>
      </w:r>
      <w:r>
        <w:rPr>
          <w:rFonts w:hint="eastAsia" w:ascii="仿宋" w:hAnsi="仿宋" w:eastAsia="仿宋"/>
          <w:kern w:val="0"/>
          <w:sz w:val="32"/>
          <w:szCs w:val="32"/>
        </w:rPr>
        <w:t>征管经费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eastAsia="zh-CN"/>
        </w:rPr>
        <w:t>增加。</w:t>
      </w:r>
    </w:p>
    <w:p>
      <w:pPr>
        <w:numPr>
          <w:ilvl w:val="0"/>
          <w:numId w:val="0"/>
        </w:numPr>
        <w:pBdr>
          <w:bottom w:val="single" w:color="FFFFFF" w:sz="4" w:space="31"/>
        </w:pBdr>
        <w:adjustRightInd w:val="0"/>
        <w:spacing w:line="560" w:lineRule="exact"/>
        <w:rPr>
          <w:rFonts w:hint="eastAsia" w:ascii="仿宋_GB2312" w:hAnsi="宋体" w:eastAsia="仿宋_GB2312" w:cs="宋体"/>
          <w:color w:val="111111"/>
          <w:sz w:val="32"/>
          <w:szCs w:val="32"/>
        </w:rPr>
      </w:pPr>
      <w:r>
        <w:rPr>
          <w:rFonts w:hint="eastAsia" w:ascii="仿宋_GB2312" w:hAnsi="宋体" w:eastAsia="仿宋_GB2312" w:cs="宋体"/>
          <w:color w:val="111111"/>
          <w:sz w:val="32"/>
          <w:szCs w:val="32"/>
          <w:lang w:val="en-US" w:eastAsia="zh-CN"/>
        </w:rPr>
        <w:t>　　5.20111纪检监察事务0万元，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较上年</w:t>
      </w:r>
      <w:r>
        <w:rPr>
          <w:rFonts w:hint="eastAsia" w:ascii="仿宋" w:hAnsi="仿宋" w:eastAsia="仿宋" w:cs="仿宋"/>
          <w:b w:val="0"/>
          <w:i w:val="0"/>
          <w:color w:val="auto"/>
          <w:sz w:val="32"/>
          <w:szCs w:val="32"/>
          <w:highlight w:val="none"/>
          <w:u w:val="none"/>
          <w:lang w:eastAsia="zh-CN"/>
        </w:rPr>
        <w:t>预算数减少</w:t>
      </w:r>
      <w:r>
        <w:rPr>
          <w:rFonts w:hint="eastAsia" w:ascii="仿宋" w:hAnsi="仿宋" w:eastAsia="仿宋" w:cs="仿宋"/>
          <w:b w:val="0"/>
          <w:i w:val="0"/>
          <w:color w:val="auto"/>
          <w:sz w:val="32"/>
          <w:szCs w:val="32"/>
          <w:highlight w:val="none"/>
          <w:u w:val="none"/>
          <w:lang w:val="en-US" w:eastAsia="zh-CN"/>
        </w:rPr>
        <w:t>8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万元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b w:val="0"/>
          <w:i w:val="0"/>
          <w:color w:val="auto"/>
          <w:sz w:val="32"/>
          <w:szCs w:val="32"/>
          <w:highlight w:val="none"/>
          <w:u w:val="none"/>
          <w:lang w:eastAsia="zh-CN"/>
        </w:rPr>
        <w:t>下降100%。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主要原因是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eastAsia="zh-CN"/>
        </w:rPr>
        <w:t>一般业务费调整。</w:t>
      </w:r>
    </w:p>
    <w:p>
      <w:pPr>
        <w:numPr>
          <w:ilvl w:val="0"/>
          <w:numId w:val="0"/>
        </w:numPr>
        <w:pBdr>
          <w:bottom w:val="single" w:color="FFFFFF" w:sz="4" w:space="31"/>
        </w:pBdr>
        <w:adjustRightInd w:val="0"/>
        <w:spacing w:line="560" w:lineRule="exact"/>
        <w:ind w:leftChars="200"/>
        <w:rPr>
          <w:rFonts w:hint="eastAsia" w:ascii="仿宋_GB2312" w:hAnsi="宋体" w:eastAsia="仿宋_GB2312" w:cs="宋体"/>
          <w:color w:val="111111"/>
          <w:sz w:val="32"/>
          <w:szCs w:val="32"/>
        </w:rPr>
      </w:pPr>
      <w:r>
        <w:rPr>
          <w:rFonts w:hint="eastAsia" w:ascii="仿宋_GB2312" w:hAnsi="宋体" w:eastAsia="仿宋_GB2312" w:cs="宋体"/>
          <w:color w:val="111111"/>
          <w:sz w:val="32"/>
          <w:szCs w:val="32"/>
          <w:lang w:eastAsia="zh-CN"/>
        </w:rPr>
        <w:t>　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val="en-US" w:eastAsia="zh-CN"/>
        </w:rPr>
        <w:t>6.</w:t>
      </w:r>
      <w:r>
        <w:rPr>
          <w:rFonts w:ascii="仿宋_GB2312" w:hAnsi="宋体" w:eastAsia="仿宋_GB2312" w:cs="宋体"/>
          <w:color w:val="111111"/>
          <w:sz w:val="32"/>
          <w:szCs w:val="32"/>
        </w:rPr>
        <w:t>20113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商贸事务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val="en-US" w:eastAsia="zh-CN"/>
        </w:rPr>
        <w:t>1586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万元，较上年</w:t>
      </w:r>
      <w:r>
        <w:rPr>
          <w:rFonts w:hint="eastAsia" w:ascii="仿宋" w:hAnsi="仿宋" w:eastAsia="仿宋" w:cs="仿宋"/>
          <w:b w:val="0"/>
          <w:i w:val="0"/>
          <w:color w:val="auto"/>
          <w:sz w:val="32"/>
          <w:szCs w:val="32"/>
          <w:highlight w:val="none"/>
          <w:u w:val="none"/>
          <w:lang w:eastAsia="zh-CN"/>
        </w:rPr>
        <w:t>预算数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eastAsia="zh-CN"/>
        </w:rPr>
        <w:t>增加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eastAsia="zh-CN"/>
        </w:rPr>
        <w:t>增长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val="en-US" w:eastAsia="zh-CN"/>
        </w:rPr>
        <w:t>0.1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%。主要原因是陆地港进出口标箱政策性补贴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eastAsia="zh-CN"/>
        </w:rPr>
        <w:t>增加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。</w:t>
      </w:r>
    </w:p>
    <w:p>
      <w:pPr>
        <w:numPr>
          <w:ilvl w:val="0"/>
          <w:numId w:val="0"/>
        </w:numPr>
        <w:pBdr>
          <w:bottom w:val="single" w:color="FFFFFF" w:sz="4" w:space="31"/>
        </w:pBdr>
        <w:adjustRightInd w:val="0"/>
        <w:spacing w:line="560" w:lineRule="exact"/>
        <w:ind w:leftChars="200"/>
        <w:rPr>
          <w:rFonts w:hint="eastAsia" w:ascii="仿宋_GB2312" w:hAnsi="宋体" w:eastAsia="仿宋_GB2312" w:cs="宋体"/>
          <w:color w:val="111111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color w:val="111111"/>
          <w:sz w:val="32"/>
          <w:szCs w:val="32"/>
          <w:lang w:val="en-US" w:eastAsia="zh-CN"/>
        </w:rPr>
        <w:t>　7.20129群众团体事务133万元，较上年预算数减少43万元，下降24.4%。主要原因是规范化建设完善费用、非公企工会主席津贴、会议误工补贴等减少。</w:t>
      </w:r>
    </w:p>
    <w:p>
      <w:pPr>
        <w:numPr>
          <w:ilvl w:val="0"/>
          <w:numId w:val="0"/>
        </w:numPr>
        <w:pBdr>
          <w:bottom w:val="single" w:color="FFFFFF" w:sz="4" w:space="31"/>
        </w:pBdr>
        <w:adjustRightInd w:val="0"/>
        <w:spacing w:line="560" w:lineRule="exact"/>
        <w:ind w:leftChars="200"/>
        <w:rPr>
          <w:rFonts w:hint="eastAsia" w:ascii="仿宋_GB2312" w:hAnsi="宋体" w:eastAsia="仿宋_GB2312" w:cs="宋体"/>
          <w:color w:val="111111"/>
          <w:sz w:val="32"/>
          <w:szCs w:val="32"/>
        </w:rPr>
      </w:pPr>
      <w:r>
        <w:rPr>
          <w:rFonts w:hint="eastAsia" w:ascii="仿宋_GB2312" w:hAnsi="宋体" w:eastAsia="仿宋_GB2312" w:cs="宋体"/>
          <w:color w:val="111111"/>
          <w:sz w:val="32"/>
          <w:szCs w:val="32"/>
          <w:lang w:val="en-US" w:eastAsia="zh-CN"/>
        </w:rPr>
        <w:t>　8.20136其他共产党事务支出33万元，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较上年</w:t>
      </w:r>
      <w:r>
        <w:rPr>
          <w:rFonts w:hint="eastAsia" w:ascii="仿宋" w:hAnsi="仿宋" w:eastAsia="仿宋" w:cs="仿宋"/>
          <w:b w:val="0"/>
          <w:i w:val="0"/>
          <w:color w:val="auto"/>
          <w:sz w:val="32"/>
          <w:szCs w:val="32"/>
          <w:highlight w:val="none"/>
          <w:u w:val="none"/>
          <w:lang w:eastAsia="zh-CN"/>
        </w:rPr>
        <w:t>预算数减少</w:t>
      </w:r>
      <w:r>
        <w:rPr>
          <w:rFonts w:hint="eastAsia" w:ascii="仿宋" w:hAnsi="仿宋" w:eastAsia="仿宋" w:cs="仿宋"/>
          <w:b w:val="0"/>
          <w:i w:val="0"/>
          <w:color w:val="auto"/>
          <w:sz w:val="32"/>
          <w:szCs w:val="32"/>
          <w:highlight w:val="none"/>
          <w:u w:val="none"/>
          <w:lang w:val="en-US" w:eastAsia="zh-CN"/>
        </w:rPr>
        <w:t>1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eastAsia="zh-CN"/>
        </w:rPr>
        <w:t>下降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val="en-US" w:eastAsia="zh-CN"/>
        </w:rPr>
        <w:t>2.9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%。主要原因是党员及党务工作干部培训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eastAsia="zh-CN"/>
        </w:rPr>
        <w:t>减少。</w:t>
      </w:r>
    </w:p>
    <w:p>
      <w:pPr>
        <w:numPr>
          <w:ilvl w:val="0"/>
          <w:numId w:val="0"/>
        </w:numPr>
        <w:pBdr>
          <w:bottom w:val="single" w:color="FFFFFF" w:sz="4" w:space="31"/>
        </w:pBdr>
        <w:adjustRightInd w:val="0"/>
        <w:spacing w:line="560" w:lineRule="exact"/>
        <w:ind w:leftChars="200"/>
        <w:rPr>
          <w:rFonts w:hint="eastAsia" w:ascii="仿宋_GB2312" w:hAnsi="宋体" w:eastAsia="仿宋_GB2312" w:cs="宋体"/>
          <w:color w:val="111111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color w:val="111111"/>
          <w:sz w:val="32"/>
          <w:szCs w:val="32"/>
          <w:lang w:val="en-US" w:eastAsia="zh-CN"/>
        </w:rPr>
        <w:t>　9.20138市场监督管理事务25万元，较上年预算数增加0万元，增长0%。与上年持平。</w:t>
      </w:r>
    </w:p>
    <w:p>
      <w:pPr>
        <w:numPr>
          <w:ilvl w:val="0"/>
          <w:numId w:val="0"/>
        </w:numPr>
        <w:pBdr>
          <w:bottom w:val="single" w:color="FFFFFF" w:sz="4" w:space="31"/>
        </w:pBdr>
        <w:adjustRightInd w:val="0"/>
        <w:spacing w:line="560" w:lineRule="exact"/>
        <w:ind w:leftChars="200"/>
        <w:rPr>
          <w:rFonts w:hint="eastAsia" w:ascii="仿宋_GB2312" w:hAnsi="Calibri" w:eastAsia="仿宋_GB2312" w:cs="Times New Roman"/>
          <w:sz w:val="30"/>
          <w:szCs w:val="30"/>
          <w:highlight w:val="none"/>
        </w:rPr>
      </w:pPr>
      <w:r>
        <w:rPr>
          <w:rFonts w:hint="eastAsia" w:ascii="仿宋_GB2312" w:hAnsi="宋体" w:eastAsia="仿宋_GB2312" w:cs="宋体"/>
          <w:color w:val="111111"/>
          <w:sz w:val="32"/>
          <w:szCs w:val="32"/>
          <w:highlight w:val="none"/>
          <w:lang w:eastAsia="zh-CN"/>
        </w:rPr>
        <w:t>　</w:t>
      </w:r>
      <w:r>
        <w:rPr>
          <w:rFonts w:hint="eastAsia" w:ascii="仿宋_GB2312" w:hAnsi="宋体" w:eastAsia="仿宋_GB2312" w:cs="宋体"/>
          <w:color w:val="111111"/>
          <w:sz w:val="32"/>
          <w:szCs w:val="32"/>
          <w:highlight w:val="none"/>
          <w:lang w:val="en-US" w:eastAsia="zh-CN"/>
        </w:rPr>
        <w:t>10.</w:t>
      </w:r>
      <w:r>
        <w:rPr>
          <w:rFonts w:ascii="仿宋_GB2312" w:hAnsi="宋体" w:eastAsia="仿宋_GB2312" w:cs="宋体"/>
          <w:color w:val="111111"/>
          <w:sz w:val="32"/>
          <w:szCs w:val="32"/>
          <w:highlight w:val="none"/>
        </w:rPr>
        <w:t>20199</w:t>
      </w:r>
      <w:r>
        <w:rPr>
          <w:rFonts w:hint="eastAsia" w:ascii="仿宋_GB2312" w:hAnsi="宋体" w:eastAsia="仿宋_GB2312" w:cs="宋体"/>
          <w:color w:val="111111"/>
          <w:sz w:val="32"/>
          <w:szCs w:val="32"/>
          <w:highlight w:val="none"/>
        </w:rPr>
        <w:t>其他一般公共服务支出(款)</w:t>
      </w:r>
      <w:r>
        <w:rPr>
          <w:rFonts w:hint="eastAsia" w:ascii="仿宋_GB2312" w:hAnsi="宋体" w:eastAsia="仿宋_GB2312" w:cs="宋体"/>
          <w:color w:val="111111"/>
          <w:sz w:val="32"/>
          <w:szCs w:val="32"/>
          <w:highlight w:val="none"/>
          <w:lang w:val="en-US" w:eastAsia="zh-CN"/>
        </w:rPr>
        <w:t>1886</w:t>
      </w:r>
      <w:r>
        <w:rPr>
          <w:rFonts w:hint="eastAsia" w:ascii="仿宋_GB2312" w:hAnsi="宋体" w:eastAsia="仿宋_GB2312" w:cs="宋体"/>
          <w:color w:val="111111"/>
          <w:sz w:val="32"/>
          <w:szCs w:val="32"/>
          <w:highlight w:val="none"/>
        </w:rPr>
        <w:t>万元，较上年</w:t>
      </w:r>
      <w:r>
        <w:rPr>
          <w:rFonts w:hint="eastAsia" w:ascii="仿宋" w:hAnsi="仿宋" w:eastAsia="仿宋" w:cs="仿宋"/>
          <w:b w:val="0"/>
          <w:i w:val="0"/>
          <w:color w:val="auto"/>
          <w:sz w:val="32"/>
          <w:szCs w:val="32"/>
          <w:highlight w:val="none"/>
          <w:u w:val="none"/>
          <w:lang w:eastAsia="zh-CN"/>
        </w:rPr>
        <w:t>预算数</w:t>
      </w:r>
      <w:r>
        <w:rPr>
          <w:rFonts w:hint="eastAsia" w:ascii="仿宋_GB2312" w:hAnsi="宋体" w:eastAsia="仿宋_GB2312" w:cs="宋体"/>
          <w:color w:val="111111"/>
          <w:sz w:val="32"/>
          <w:szCs w:val="32"/>
          <w:highlight w:val="none"/>
          <w:lang w:eastAsia="zh-CN"/>
        </w:rPr>
        <w:t>增加</w:t>
      </w:r>
      <w:r>
        <w:rPr>
          <w:rFonts w:hint="eastAsia" w:ascii="仿宋_GB2312" w:hAnsi="宋体" w:eastAsia="仿宋_GB2312" w:cs="宋体"/>
          <w:color w:val="111111"/>
          <w:sz w:val="32"/>
          <w:szCs w:val="32"/>
          <w:highlight w:val="none"/>
          <w:lang w:val="en-US" w:eastAsia="zh-CN"/>
        </w:rPr>
        <w:t>1140</w:t>
      </w:r>
      <w:r>
        <w:rPr>
          <w:rFonts w:hint="eastAsia" w:ascii="仿宋_GB2312" w:hAnsi="宋体" w:eastAsia="仿宋_GB2312" w:cs="宋体"/>
          <w:color w:val="111111"/>
          <w:sz w:val="32"/>
          <w:szCs w:val="32"/>
          <w:highlight w:val="none"/>
        </w:rPr>
        <w:t>万元，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val="en-US" w:eastAsia="zh-CN"/>
        </w:rPr>
        <w:t>增长</w:t>
      </w:r>
      <w:r>
        <w:rPr>
          <w:rFonts w:hint="eastAsia" w:ascii="仿宋_GB2312" w:hAnsi="宋体" w:eastAsia="仿宋_GB2312" w:cs="宋体"/>
          <w:color w:val="111111"/>
          <w:sz w:val="32"/>
          <w:szCs w:val="32"/>
          <w:highlight w:val="none"/>
          <w:lang w:val="en-US" w:eastAsia="zh-CN"/>
        </w:rPr>
        <w:t>152.8</w:t>
      </w:r>
      <w:r>
        <w:rPr>
          <w:rFonts w:hint="eastAsia" w:ascii="仿宋_GB2312" w:hAnsi="宋体" w:eastAsia="仿宋_GB2312" w:cs="宋体"/>
          <w:color w:val="111111"/>
          <w:sz w:val="32"/>
          <w:szCs w:val="32"/>
          <w:highlight w:val="none"/>
        </w:rPr>
        <w:t>%。主要原因是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val="en-US" w:eastAsia="zh-CN"/>
        </w:rPr>
        <w:t>人民银行补助资金、2020年增加未支付东肖及红坊各项经费等增加</w:t>
      </w:r>
      <w:r>
        <w:rPr>
          <w:rFonts w:hint="eastAsia" w:ascii="仿宋_GB2312" w:hAnsi="Calibri" w:eastAsia="仿宋_GB2312" w:cs="Times New Roman"/>
          <w:sz w:val="30"/>
          <w:szCs w:val="30"/>
          <w:highlight w:val="none"/>
        </w:rPr>
        <w:t>。</w:t>
      </w:r>
    </w:p>
    <w:p>
      <w:pPr>
        <w:pBdr>
          <w:bottom w:val="single" w:color="FFFFFF" w:sz="4" w:space="31"/>
        </w:pBdr>
        <w:adjustRightInd w:val="0"/>
        <w:spacing w:line="560" w:lineRule="exact"/>
        <w:ind w:firstLine="640" w:firstLineChars="200"/>
        <w:rPr>
          <w:rFonts w:ascii="仿宋_GB2312" w:hAnsi="宋体" w:eastAsia="仿宋_GB2312" w:cs="宋体"/>
          <w:color w:val="111111"/>
          <w:sz w:val="32"/>
          <w:szCs w:val="32"/>
        </w:rPr>
      </w:pPr>
      <w:r>
        <w:rPr>
          <w:rFonts w:hint="eastAsia" w:ascii="仿宋_GB2312" w:hAnsi="宋体" w:eastAsia="仿宋_GB2312" w:cs="宋体"/>
          <w:color w:val="111111"/>
          <w:sz w:val="32"/>
          <w:szCs w:val="32"/>
        </w:rPr>
        <w:t>（二）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val="en-US" w:eastAsia="zh-CN"/>
        </w:rPr>
        <w:t>204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公共安全支出0万元，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val="en-US" w:eastAsia="zh-CN"/>
        </w:rPr>
        <w:t>较上年预算数增加0万元，增长0%。与上年持平。</w:t>
      </w:r>
    </w:p>
    <w:p>
      <w:pPr>
        <w:pBdr>
          <w:bottom w:val="single" w:color="FFFFFF" w:sz="4" w:space="31"/>
        </w:pBdr>
        <w:adjustRightInd w:val="0"/>
        <w:spacing w:line="560" w:lineRule="exact"/>
        <w:ind w:firstLine="640" w:firstLineChars="200"/>
        <w:rPr>
          <w:rFonts w:ascii="楷体" w:hAnsi="楷体" w:eastAsia="楷体" w:cs="宋体"/>
          <w:b/>
          <w:color w:val="111111"/>
          <w:sz w:val="32"/>
          <w:szCs w:val="32"/>
        </w:rPr>
      </w:pPr>
      <w:r>
        <w:rPr>
          <w:rFonts w:hint="eastAsia" w:ascii="仿宋_GB2312" w:hAnsi="宋体" w:eastAsia="仿宋_GB2312" w:cs="宋体"/>
          <w:color w:val="111111"/>
          <w:sz w:val="32"/>
          <w:szCs w:val="32"/>
          <w:highlight w:val="none"/>
        </w:rPr>
        <w:t>（三）</w:t>
      </w:r>
      <w:r>
        <w:rPr>
          <w:rFonts w:hint="eastAsia" w:ascii="仿宋_GB2312" w:hAnsi="宋体" w:eastAsia="仿宋_GB2312" w:cs="宋体"/>
          <w:color w:val="111111"/>
          <w:sz w:val="32"/>
          <w:szCs w:val="32"/>
          <w:highlight w:val="none"/>
          <w:lang w:val="en-US" w:eastAsia="zh-CN"/>
        </w:rPr>
        <w:t>205</w:t>
      </w:r>
      <w:r>
        <w:rPr>
          <w:rFonts w:hint="eastAsia" w:ascii="仿宋_GB2312" w:hAnsi="宋体" w:eastAsia="仿宋_GB2312" w:cs="宋体"/>
          <w:color w:val="111111"/>
          <w:sz w:val="32"/>
          <w:szCs w:val="32"/>
          <w:highlight w:val="none"/>
        </w:rPr>
        <w:t>教育支出</w:t>
      </w:r>
      <w:r>
        <w:rPr>
          <w:rFonts w:hint="eastAsia" w:ascii="仿宋_GB2312" w:hAnsi="宋体" w:eastAsia="仿宋_GB2312" w:cs="宋体"/>
          <w:color w:val="111111"/>
          <w:sz w:val="32"/>
          <w:szCs w:val="32"/>
          <w:highlight w:val="none"/>
          <w:lang w:val="en-US" w:eastAsia="zh-CN"/>
        </w:rPr>
        <w:t>6900</w:t>
      </w:r>
      <w:r>
        <w:rPr>
          <w:rFonts w:hint="eastAsia" w:ascii="仿宋_GB2312" w:hAnsi="宋体" w:eastAsia="仿宋_GB2312" w:cs="宋体"/>
          <w:color w:val="111111"/>
          <w:sz w:val="32"/>
          <w:szCs w:val="32"/>
          <w:highlight w:val="none"/>
        </w:rPr>
        <w:t>万元，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较上年</w:t>
      </w:r>
      <w:r>
        <w:rPr>
          <w:rFonts w:hint="eastAsia" w:ascii="仿宋" w:hAnsi="仿宋" w:eastAsia="仿宋" w:cs="仿宋"/>
          <w:b w:val="0"/>
          <w:i w:val="0"/>
          <w:color w:val="auto"/>
          <w:sz w:val="32"/>
          <w:szCs w:val="32"/>
          <w:highlight w:val="none"/>
          <w:u w:val="none"/>
          <w:lang w:eastAsia="zh-CN"/>
        </w:rPr>
        <w:t>预算数减少</w:t>
      </w:r>
      <w:r>
        <w:rPr>
          <w:rFonts w:hint="eastAsia" w:ascii="仿宋" w:hAnsi="仿宋" w:eastAsia="仿宋" w:cs="仿宋"/>
          <w:b w:val="0"/>
          <w:i w:val="0"/>
          <w:color w:val="auto"/>
          <w:sz w:val="32"/>
          <w:szCs w:val="32"/>
          <w:highlight w:val="none"/>
          <w:u w:val="none"/>
          <w:lang w:val="en-US" w:eastAsia="zh-CN"/>
        </w:rPr>
        <w:t>100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eastAsia="zh-CN"/>
        </w:rPr>
        <w:t>下降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val="en-US" w:eastAsia="zh-CN"/>
        </w:rPr>
        <w:t>1.4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%。主要原因是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eastAsia="zh-CN"/>
        </w:rPr>
        <w:t>减少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龙岩实验学校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eastAsia="zh-CN"/>
        </w:rPr>
        <w:t>建设支出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。其中：</w:t>
      </w:r>
    </w:p>
    <w:p>
      <w:pPr>
        <w:pBdr>
          <w:bottom w:val="single" w:color="FFFFFF" w:sz="4" w:space="31"/>
        </w:pBdr>
        <w:adjustRightInd w:val="0"/>
        <w:spacing w:line="560" w:lineRule="exact"/>
        <w:rPr>
          <w:rFonts w:hint="eastAsia" w:ascii="仿宋_GB2312" w:hAnsi="宋体" w:eastAsia="仿宋_GB2312" w:cs="宋体"/>
          <w:color w:val="111111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color w:val="111111"/>
          <w:sz w:val="32"/>
          <w:szCs w:val="32"/>
          <w:lang w:val="en-US" w:eastAsia="zh-CN"/>
        </w:rPr>
        <w:t>　　1.20502普通教育6900万元，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较上年</w:t>
      </w:r>
      <w:r>
        <w:rPr>
          <w:rFonts w:hint="eastAsia" w:ascii="仿宋" w:hAnsi="仿宋" w:eastAsia="仿宋" w:cs="仿宋"/>
          <w:b w:val="0"/>
          <w:i w:val="0"/>
          <w:color w:val="auto"/>
          <w:sz w:val="32"/>
          <w:szCs w:val="32"/>
          <w:highlight w:val="none"/>
          <w:u w:val="none"/>
          <w:lang w:eastAsia="zh-CN"/>
        </w:rPr>
        <w:t>预算数减少</w:t>
      </w:r>
      <w:r>
        <w:rPr>
          <w:rFonts w:hint="eastAsia" w:ascii="仿宋" w:hAnsi="仿宋" w:eastAsia="仿宋" w:cs="仿宋"/>
          <w:b w:val="0"/>
          <w:i w:val="0"/>
          <w:color w:val="auto"/>
          <w:sz w:val="32"/>
          <w:szCs w:val="32"/>
          <w:highlight w:val="none"/>
          <w:u w:val="none"/>
          <w:lang w:val="en-US" w:eastAsia="zh-CN"/>
        </w:rPr>
        <w:t>100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eastAsia="zh-CN"/>
        </w:rPr>
        <w:t>下降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val="en-US" w:eastAsia="zh-CN"/>
        </w:rPr>
        <w:t>1.4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%。主要原因是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eastAsia="zh-CN"/>
        </w:rPr>
        <w:t>减少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龙岩实验学校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eastAsia="zh-CN"/>
        </w:rPr>
        <w:t>建设支出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。</w:t>
      </w:r>
    </w:p>
    <w:p>
      <w:pPr>
        <w:pBdr>
          <w:bottom w:val="single" w:color="FFFFFF" w:sz="4" w:space="31"/>
        </w:pBdr>
        <w:adjustRightInd w:val="0"/>
        <w:spacing w:line="560" w:lineRule="exact"/>
        <w:ind w:firstLine="640" w:firstLineChars="200"/>
        <w:rPr>
          <w:rFonts w:hint="eastAsia" w:ascii="仿宋_GB2312" w:hAnsi="宋体" w:eastAsia="仿宋_GB2312" w:cs="宋体"/>
          <w:color w:val="111111"/>
          <w:sz w:val="32"/>
          <w:szCs w:val="32"/>
        </w:rPr>
      </w:pPr>
      <w:r>
        <w:rPr>
          <w:rFonts w:hint="eastAsia" w:ascii="仿宋_GB2312" w:hAnsi="宋体" w:eastAsia="仿宋_GB2312" w:cs="宋体"/>
          <w:color w:val="111111"/>
          <w:sz w:val="32"/>
          <w:szCs w:val="32"/>
        </w:rPr>
        <w:t>（四）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val="en-US" w:eastAsia="zh-CN"/>
        </w:rPr>
        <w:t>206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科学技术支出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val="en-US" w:eastAsia="zh-CN"/>
        </w:rPr>
        <w:t>2497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万元，较上年</w:t>
      </w:r>
      <w:r>
        <w:rPr>
          <w:rFonts w:hint="eastAsia" w:ascii="仿宋" w:hAnsi="仿宋" w:eastAsia="仿宋" w:cs="仿宋"/>
          <w:b w:val="0"/>
          <w:i w:val="0"/>
          <w:color w:val="auto"/>
          <w:sz w:val="32"/>
          <w:szCs w:val="32"/>
          <w:highlight w:val="none"/>
          <w:u w:val="none"/>
          <w:lang w:eastAsia="zh-CN"/>
        </w:rPr>
        <w:t>预算数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eastAsia="zh-CN"/>
        </w:rPr>
        <w:t>减少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val="en-US" w:eastAsia="zh-CN"/>
        </w:rPr>
        <w:t>609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eastAsia="zh-CN"/>
        </w:rPr>
        <w:t>下降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val="en-US" w:eastAsia="zh-CN"/>
        </w:rPr>
        <w:t>19.6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%。主要原因是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eastAsia="zh-CN"/>
        </w:rPr>
        <w:t>其他技术研究与开发支出减少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。其中：</w:t>
      </w:r>
    </w:p>
    <w:p>
      <w:pPr>
        <w:pBdr>
          <w:bottom w:val="single" w:color="FFFFFF" w:sz="4" w:space="31"/>
        </w:pBdr>
        <w:adjustRightInd w:val="0"/>
        <w:spacing w:line="560" w:lineRule="exact"/>
        <w:ind w:firstLine="640" w:firstLineChars="200"/>
        <w:rPr>
          <w:rFonts w:hint="eastAsia" w:ascii="仿宋_GB2312" w:hAnsi="宋体" w:eastAsia="仿宋_GB2312" w:cs="宋体"/>
          <w:color w:val="111111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color w:val="111111"/>
          <w:sz w:val="32"/>
          <w:szCs w:val="32"/>
          <w:lang w:val="en-US" w:eastAsia="zh-CN"/>
        </w:rPr>
        <w:t>1.20604技术研究与开发2497万元，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较上年</w:t>
      </w:r>
      <w:r>
        <w:rPr>
          <w:rFonts w:hint="eastAsia" w:ascii="仿宋" w:hAnsi="仿宋" w:eastAsia="仿宋" w:cs="仿宋"/>
          <w:b w:val="0"/>
          <w:i w:val="0"/>
          <w:color w:val="auto"/>
          <w:sz w:val="32"/>
          <w:szCs w:val="32"/>
          <w:highlight w:val="none"/>
          <w:u w:val="none"/>
          <w:lang w:eastAsia="zh-CN"/>
        </w:rPr>
        <w:t>预算数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eastAsia="zh-CN"/>
        </w:rPr>
        <w:t>减少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val="en-US" w:eastAsia="zh-CN"/>
        </w:rPr>
        <w:t>604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eastAsia="zh-CN"/>
        </w:rPr>
        <w:t>下降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val="en-US" w:eastAsia="zh-CN"/>
        </w:rPr>
        <w:t>19.5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%。主要原因是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eastAsia="zh-CN"/>
        </w:rPr>
        <w:t>其他技术研究与开发支出减少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。</w:t>
      </w:r>
    </w:p>
    <w:p>
      <w:pPr>
        <w:numPr>
          <w:ilvl w:val="0"/>
          <w:numId w:val="0"/>
        </w:numPr>
        <w:pBdr>
          <w:bottom w:val="single" w:color="FFFFFF" w:sz="4" w:space="31"/>
        </w:pBdr>
        <w:adjustRightInd w:val="0"/>
        <w:spacing w:line="560" w:lineRule="exact"/>
        <w:rPr>
          <w:rFonts w:hint="eastAsia" w:ascii="仿宋_GB2312" w:hAnsi="宋体" w:eastAsia="仿宋_GB2312" w:cs="宋体"/>
          <w:color w:val="111111"/>
          <w:sz w:val="32"/>
          <w:szCs w:val="32"/>
        </w:rPr>
      </w:pPr>
      <w:r>
        <w:rPr>
          <w:rFonts w:hint="eastAsia" w:ascii="仿宋_GB2312" w:hAnsi="宋体" w:eastAsia="仿宋_GB2312" w:cs="宋体"/>
          <w:color w:val="111111"/>
          <w:sz w:val="32"/>
          <w:szCs w:val="32"/>
          <w:lang w:eastAsia="zh-CN"/>
        </w:rPr>
        <w:t>　　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val="en-US" w:eastAsia="zh-CN"/>
        </w:rPr>
        <w:t>2.</w:t>
      </w:r>
      <w:r>
        <w:rPr>
          <w:rFonts w:ascii="仿宋_GB2312" w:hAnsi="宋体" w:eastAsia="仿宋_GB2312" w:cs="宋体"/>
          <w:color w:val="111111"/>
          <w:sz w:val="32"/>
          <w:szCs w:val="32"/>
        </w:rPr>
        <w:t>20699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其他科学技术支出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万元，较上年</w:t>
      </w:r>
      <w:r>
        <w:rPr>
          <w:rFonts w:hint="eastAsia" w:ascii="仿宋" w:hAnsi="仿宋" w:eastAsia="仿宋" w:cs="仿宋"/>
          <w:b w:val="0"/>
          <w:i w:val="0"/>
          <w:color w:val="auto"/>
          <w:sz w:val="32"/>
          <w:szCs w:val="32"/>
          <w:highlight w:val="none"/>
          <w:u w:val="none"/>
          <w:lang w:eastAsia="zh-CN"/>
        </w:rPr>
        <w:t>预算数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eastAsia="zh-CN"/>
        </w:rPr>
        <w:t>减少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val="en-US" w:eastAsia="zh-CN"/>
        </w:rPr>
        <w:t>5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万元，下降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val="en-US" w:eastAsia="zh-CN"/>
        </w:rPr>
        <w:t>100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%。主要原因是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eastAsia="zh-CN"/>
        </w:rPr>
        <w:t>其他科学技术支出减少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。</w:t>
      </w:r>
    </w:p>
    <w:p>
      <w:pPr>
        <w:numPr>
          <w:ilvl w:val="0"/>
          <w:numId w:val="0"/>
        </w:numPr>
        <w:pBdr>
          <w:bottom w:val="single" w:color="FFFFFF" w:sz="4" w:space="31"/>
        </w:pBdr>
        <w:adjustRightInd w:val="0"/>
        <w:spacing w:line="560" w:lineRule="exact"/>
        <w:ind w:firstLine="640"/>
        <w:rPr>
          <w:rFonts w:hint="eastAsia" w:ascii="仿宋_GB2312" w:hAnsi="宋体" w:eastAsia="仿宋_GB2312" w:cs="宋体"/>
          <w:color w:val="111111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color w:val="111111"/>
          <w:sz w:val="32"/>
          <w:szCs w:val="32"/>
        </w:rPr>
        <w:t>（五）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val="en-US" w:eastAsia="zh-CN"/>
        </w:rPr>
        <w:t>208社会保障和就业支出189万元，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较上年</w:t>
      </w:r>
      <w:r>
        <w:rPr>
          <w:rFonts w:hint="eastAsia" w:ascii="仿宋" w:hAnsi="仿宋" w:eastAsia="仿宋" w:cs="仿宋"/>
          <w:b w:val="0"/>
          <w:i w:val="0"/>
          <w:color w:val="auto"/>
          <w:sz w:val="32"/>
          <w:szCs w:val="32"/>
          <w:highlight w:val="none"/>
          <w:u w:val="none"/>
          <w:lang w:eastAsia="zh-CN"/>
        </w:rPr>
        <w:t>预算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eastAsia="zh-CN"/>
        </w:rPr>
        <w:t>数增加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val="en-US" w:eastAsia="zh-CN"/>
        </w:rPr>
        <w:t>143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万元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eastAsia="zh-CN"/>
        </w:rPr>
        <w:t>，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val="en-US" w:eastAsia="zh-CN"/>
        </w:rPr>
        <w:t>增长310.9%。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主要原因是两节期间慰问及养老金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eastAsia="zh-CN"/>
        </w:rPr>
        <w:t>增加。</w:t>
      </w:r>
    </w:p>
    <w:p>
      <w:pPr>
        <w:numPr>
          <w:ilvl w:val="0"/>
          <w:numId w:val="0"/>
        </w:numPr>
        <w:pBdr>
          <w:bottom w:val="single" w:color="FFFFFF" w:sz="4" w:space="31"/>
        </w:pBdr>
        <w:adjustRightInd w:val="0"/>
        <w:spacing w:line="560" w:lineRule="exact"/>
        <w:ind w:firstLine="640" w:firstLineChars="200"/>
        <w:rPr>
          <w:rFonts w:hint="eastAsia" w:ascii="仿宋_GB2312" w:hAnsi="宋体" w:eastAsia="仿宋_GB2312" w:cs="宋体"/>
          <w:color w:val="111111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color w:val="111111"/>
          <w:sz w:val="32"/>
          <w:szCs w:val="32"/>
          <w:lang w:val="en-US" w:eastAsia="zh-CN"/>
        </w:rPr>
        <w:t>1.20805行政事业单位离退休189万元，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较上年</w:t>
      </w:r>
      <w:r>
        <w:rPr>
          <w:rFonts w:hint="eastAsia" w:ascii="仿宋" w:hAnsi="仿宋" w:eastAsia="仿宋" w:cs="仿宋"/>
          <w:b w:val="0"/>
          <w:i w:val="0"/>
          <w:color w:val="auto"/>
          <w:sz w:val="32"/>
          <w:szCs w:val="32"/>
          <w:highlight w:val="none"/>
          <w:u w:val="none"/>
          <w:lang w:eastAsia="zh-CN"/>
        </w:rPr>
        <w:t>预算数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eastAsia="zh-CN"/>
        </w:rPr>
        <w:t>增加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val="en-US" w:eastAsia="zh-CN"/>
        </w:rPr>
        <w:t>143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万元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eastAsia="zh-CN"/>
        </w:rPr>
        <w:t>，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val="en-US" w:eastAsia="zh-CN"/>
        </w:rPr>
        <w:t>增长310.9%。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主要原因是两节期间慰问及养老金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eastAsia="zh-CN"/>
        </w:rPr>
        <w:t>增加。</w:t>
      </w:r>
    </w:p>
    <w:p>
      <w:pPr>
        <w:numPr>
          <w:ilvl w:val="0"/>
          <w:numId w:val="0"/>
        </w:numPr>
        <w:pBdr>
          <w:bottom w:val="single" w:color="FFFFFF" w:sz="4" w:space="31"/>
        </w:pBdr>
        <w:adjustRightInd w:val="0"/>
        <w:spacing w:line="560" w:lineRule="exact"/>
        <w:ind w:firstLine="640"/>
        <w:rPr>
          <w:rFonts w:hint="eastAsia" w:ascii="仿宋_GB2312" w:hAnsi="宋体" w:eastAsia="仿宋_GB2312" w:cs="宋体"/>
          <w:color w:val="111111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color w:val="111111"/>
          <w:sz w:val="32"/>
          <w:szCs w:val="32"/>
        </w:rPr>
        <w:t>（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eastAsia="zh-CN"/>
        </w:rPr>
        <w:t>六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）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val="en-US" w:eastAsia="zh-CN"/>
        </w:rPr>
        <w:t>210卫生健康支出80万元，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较上年</w:t>
      </w:r>
      <w:r>
        <w:rPr>
          <w:rFonts w:hint="eastAsia" w:ascii="仿宋" w:hAnsi="仿宋" w:eastAsia="仿宋" w:cs="仿宋"/>
          <w:b w:val="0"/>
          <w:i w:val="0"/>
          <w:color w:val="auto"/>
          <w:sz w:val="32"/>
          <w:szCs w:val="32"/>
          <w:highlight w:val="none"/>
          <w:u w:val="none"/>
          <w:lang w:eastAsia="zh-CN"/>
        </w:rPr>
        <w:t>预算数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eastAsia="zh-CN"/>
        </w:rPr>
        <w:t>减少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val="en-US" w:eastAsia="zh-CN"/>
        </w:rPr>
        <w:t>220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万元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eastAsia="zh-CN"/>
        </w:rPr>
        <w:t>，下降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val="en-US" w:eastAsia="zh-CN"/>
        </w:rPr>
        <w:t>73.3%。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主要原因是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eastAsia="zh-CN"/>
        </w:rPr>
        <w:t>坎市医院建设资金减少。</w:t>
      </w:r>
    </w:p>
    <w:p>
      <w:pPr>
        <w:numPr>
          <w:ilvl w:val="0"/>
          <w:numId w:val="0"/>
        </w:numPr>
        <w:pBdr>
          <w:bottom w:val="single" w:color="FFFFFF" w:sz="4" w:space="31"/>
        </w:pBdr>
        <w:adjustRightInd w:val="0"/>
        <w:spacing w:line="560" w:lineRule="exact"/>
        <w:ind w:firstLine="640"/>
        <w:rPr>
          <w:rFonts w:hint="eastAsia" w:ascii="仿宋_GB2312" w:hAnsi="宋体" w:eastAsia="仿宋_GB2312" w:cs="宋体"/>
          <w:color w:val="111111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color w:val="111111"/>
          <w:sz w:val="32"/>
          <w:szCs w:val="32"/>
          <w:lang w:val="en-US" w:eastAsia="zh-CN"/>
        </w:rPr>
        <w:t>1.21011行政事业单位医疗80万元，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较上年</w:t>
      </w:r>
      <w:r>
        <w:rPr>
          <w:rFonts w:hint="eastAsia" w:ascii="仿宋" w:hAnsi="仿宋" w:eastAsia="仿宋" w:cs="仿宋"/>
          <w:b w:val="0"/>
          <w:i w:val="0"/>
          <w:color w:val="auto"/>
          <w:sz w:val="32"/>
          <w:szCs w:val="32"/>
          <w:highlight w:val="none"/>
          <w:u w:val="none"/>
          <w:lang w:eastAsia="zh-CN"/>
        </w:rPr>
        <w:t>预算数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eastAsia="zh-CN"/>
        </w:rPr>
        <w:t>增加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val="en-US" w:eastAsia="zh-CN"/>
        </w:rPr>
        <w:t>80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万元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val="en-US" w:eastAsia="zh-CN"/>
        </w:rPr>
        <w:t>。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主要原因是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eastAsia="zh-CN"/>
        </w:rPr>
        <w:t>增加医疗费用。</w:t>
      </w:r>
    </w:p>
    <w:p>
      <w:pPr>
        <w:numPr>
          <w:ilvl w:val="0"/>
          <w:numId w:val="0"/>
        </w:numPr>
        <w:pBdr>
          <w:bottom w:val="single" w:color="FFFFFF" w:sz="4" w:space="31"/>
        </w:pBdr>
        <w:adjustRightInd w:val="0"/>
        <w:spacing w:line="560" w:lineRule="exact"/>
        <w:ind w:firstLine="640"/>
        <w:rPr>
          <w:rFonts w:hint="eastAsia" w:ascii="仿宋_GB2312" w:hAnsi="宋体" w:eastAsia="仿宋_GB2312" w:cs="宋体"/>
          <w:color w:val="111111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color w:val="111111"/>
          <w:sz w:val="32"/>
          <w:szCs w:val="32"/>
          <w:lang w:val="en-US" w:eastAsia="zh-CN"/>
        </w:rPr>
        <w:t>2.21099其他卫生健康支出0万元，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较上年</w:t>
      </w:r>
      <w:r>
        <w:rPr>
          <w:rFonts w:hint="eastAsia" w:ascii="仿宋" w:hAnsi="仿宋" w:eastAsia="仿宋" w:cs="仿宋"/>
          <w:b w:val="0"/>
          <w:i w:val="0"/>
          <w:color w:val="auto"/>
          <w:sz w:val="32"/>
          <w:szCs w:val="32"/>
          <w:highlight w:val="none"/>
          <w:u w:val="none"/>
          <w:lang w:eastAsia="zh-CN"/>
        </w:rPr>
        <w:t>预算数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eastAsia="zh-CN"/>
        </w:rPr>
        <w:t>减少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val="en-US" w:eastAsia="zh-CN"/>
        </w:rPr>
        <w:t>300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万元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eastAsia="zh-CN"/>
        </w:rPr>
        <w:t>，下降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val="en-US" w:eastAsia="zh-CN"/>
        </w:rPr>
        <w:t>100%。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主要原因是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eastAsia="zh-CN"/>
        </w:rPr>
        <w:t>坎市医院建设资金减少。</w:t>
      </w:r>
    </w:p>
    <w:p>
      <w:pPr>
        <w:pBdr>
          <w:bottom w:val="single" w:color="FFFFFF" w:sz="4" w:space="31"/>
        </w:pBdr>
        <w:adjustRightInd w:val="0"/>
        <w:spacing w:line="560" w:lineRule="exact"/>
        <w:ind w:firstLine="640" w:firstLineChars="200"/>
        <w:rPr>
          <w:rFonts w:hint="eastAsia" w:ascii="仿宋_GB2312" w:hAnsi="宋体" w:eastAsia="仿宋_GB2312" w:cs="宋体"/>
          <w:color w:val="111111"/>
          <w:sz w:val="32"/>
          <w:szCs w:val="32"/>
        </w:rPr>
      </w:pPr>
      <w:r>
        <w:rPr>
          <w:rFonts w:hint="eastAsia" w:ascii="仿宋_GB2312" w:hAnsi="宋体" w:eastAsia="仿宋_GB2312" w:cs="宋体"/>
          <w:color w:val="111111"/>
          <w:sz w:val="32"/>
          <w:szCs w:val="32"/>
        </w:rPr>
        <w:t>（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eastAsia="zh-CN"/>
        </w:rPr>
        <w:t>七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）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val="en-US" w:eastAsia="zh-CN"/>
        </w:rPr>
        <w:t>211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节能环保支出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val="en-US" w:eastAsia="zh-CN"/>
        </w:rPr>
        <w:t>840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万元，较上年</w:t>
      </w:r>
      <w:r>
        <w:rPr>
          <w:rFonts w:hint="eastAsia" w:ascii="仿宋" w:hAnsi="仿宋" w:eastAsia="仿宋" w:cs="仿宋"/>
          <w:b w:val="0"/>
          <w:i w:val="0"/>
          <w:color w:val="auto"/>
          <w:sz w:val="32"/>
          <w:szCs w:val="32"/>
          <w:highlight w:val="none"/>
          <w:u w:val="none"/>
          <w:lang w:eastAsia="zh-CN"/>
        </w:rPr>
        <w:t>预算数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eastAsia="zh-CN"/>
        </w:rPr>
        <w:t>减少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val="en-US" w:eastAsia="zh-CN"/>
        </w:rPr>
        <w:t>310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eastAsia="zh-CN"/>
        </w:rPr>
        <w:t>下降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val="en-US" w:eastAsia="zh-CN"/>
        </w:rPr>
        <w:t>27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%。主要原因危险废物处置专项经费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eastAsia="zh-CN"/>
        </w:rPr>
        <w:t>减少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。其中：</w:t>
      </w:r>
    </w:p>
    <w:p>
      <w:pPr>
        <w:pBdr>
          <w:bottom w:val="single" w:color="FFFFFF" w:sz="4" w:space="31"/>
        </w:pBdr>
        <w:adjustRightInd w:val="0"/>
        <w:spacing w:line="560" w:lineRule="exact"/>
        <w:ind w:firstLine="640" w:firstLineChars="200"/>
        <w:rPr>
          <w:rFonts w:hint="eastAsia" w:ascii="仿宋_GB2312" w:hAnsi="宋体" w:eastAsia="仿宋_GB2312" w:cs="宋体"/>
          <w:color w:val="111111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color w:val="111111"/>
          <w:sz w:val="32"/>
          <w:szCs w:val="32"/>
          <w:lang w:val="en-US" w:eastAsia="zh-CN"/>
        </w:rPr>
        <w:t>1.21101环境保护管理事务支出45万元，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较上年</w:t>
      </w:r>
      <w:r>
        <w:rPr>
          <w:rFonts w:hint="eastAsia" w:ascii="仿宋" w:hAnsi="仿宋" w:eastAsia="仿宋" w:cs="仿宋"/>
          <w:b w:val="0"/>
          <w:i w:val="0"/>
          <w:color w:val="auto"/>
          <w:sz w:val="32"/>
          <w:szCs w:val="32"/>
          <w:highlight w:val="none"/>
          <w:u w:val="none"/>
          <w:lang w:eastAsia="zh-CN"/>
        </w:rPr>
        <w:t>预算数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eastAsia="zh-CN"/>
        </w:rPr>
        <w:t>增加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val="en-US" w:eastAsia="zh-CN"/>
        </w:rPr>
        <w:t>12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eastAsia="zh-CN"/>
        </w:rPr>
        <w:t>增长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val="en-US" w:eastAsia="zh-CN"/>
        </w:rPr>
        <w:t>36.4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%。主要原因是水土保持方案区域评估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eastAsia="zh-CN"/>
        </w:rPr>
        <w:t>、环保应急费用增加。</w:t>
      </w:r>
    </w:p>
    <w:p>
      <w:pPr>
        <w:pBdr>
          <w:bottom w:val="single" w:color="FFFFFF" w:sz="4" w:space="31"/>
        </w:pBdr>
        <w:adjustRightInd w:val="0"/>
        <w:spacing w:line="560" w:lineRule="exact"/>
        <w:ind w:firstLine="640" w:firstLineChars="200"/>
        <w:rPr>
          <w:rFonts w:hint="eastAsia" w:ascii="仿宋_GB2312" w:hAnsi="宋体" w:eastAsia="仿宋_GB2312" w:cs="宋体"/>
          <w:color w:val="111111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color w:val="111111"/>
          <w:sz w:val="32"/>
          <w:szCs w:val="32"/>
          <w:lang w:val="en-US" w:eastAsia="zh-CN"/>
        </w:rPr>
        <w:t>2.21103污染防治支出795万元，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较上年</w:t>
      </w:r>
      <w:r>
        <w:rPr>
          <w:rFonts w:hint="eastAsia" w:ascii="仿宋" w:hAnsi="仿宋" w:eastAsia="仿宋" w:cs="仿宋"/>
          <w:b w:val="0"/>
          <w:i w:val="0"/>
          <w:color w:val="auto"/>
          <w:sz w:val="32"/>
          <w:szCs w:val="32"/>
          <w:highlight w:val="none"/>
          <w:u w:val="none"/>
          <w:lang w:eastAsia="zh-CN"/>
        </w:rPr>
        <w:t>预算数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eastAsia="zh-CN"/>
        </w:rPr>
        <w:t>减少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val="en-US" w:eastAsia="zh-CN"/>
        </w:rPr>
        <w:t>322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eastAsia="zh-CN"/>
        </w:rPr>
        <w:t>下降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val="en-US" w:eastAsia="zh-CN"/>
        </w:rPr>
        <w:t>28.8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%。主要原因是危险废物处置专项经费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eastAsia="zh-CN"/>
        </w:rPr>
        <w:t>减少。</w:t>
      </w:r>
    </w:p>
    <w:p>
      <w:pPr>
        <w:numPr>
          <w:ilvl w:val="0"/>
          <w:numId w:val="0"/>
        </w:numPr>
        <w:pBdr>
          <w:bottom w:val="single" w:color="FFFFFF" w:sz="4" w:space="31"/>
        </w:pBdr>
        <w:adjustRightInd w:val="0"/>
        <w:spacing w:line="560" w:lineRule="exact"/>
        <w:ind w:firstLine="640"/>
        <w:rPr>
          <w:rFonts w:hint="default" w:ascii="仿宋_GB2312" w:hAnsi="宋体" w:eastAsia="仿宋_GB2312" w:cs="宋体"/>
          <w:color w:val="111111"/>
          <w:sz w:val="32"/>
          <w:szCs w:val="32"/>
          <w:lang w:val="en-US" w:eastAsia="zh-CN"/>
        </w:rPr>
      </w:pPr>
    </w:p>
    <w:p>
      <w:pPr>
        <w:pBdr>
          <w:bottom w:val="single" w:color="FFFFFF" w:sz="4" w:space="31"/>
        </w:pBdr>
        <w:adjustRightInd w:val="0"/>
        <w:spacing w:line="560" w:lineRule="exact"/>
        <w:ind w:firstLine="640" w:firstLineChars="200"/>
        <w:rPr>
          <w:rFonts w:ascii="楷体" w:hAnsi="楷体" w:eastAsia="楷体" w:cs="宋体"/>
          <w:b/>
          <w:color w:val="111111"/>
          <w:sz w:val="32"/>
          <w:szCs w:val="32"/>
        </w:rPr>
      </w:pPr>
      <w:r>
        <w:rPr>
          <w:rFonts w:hint="eastAsia" w:ascii="仿宋_GB2312" w:hAnsi="宋体" w:eastAsia="仿宋_GB2312" w:cs="宋体"/>
          <w:color w:val="111111"/>
          <w:sz w:val="32"/>
          <w:szCs w:val="32"/>
        </w:rPr>
        <w:t>（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eastAsia="zh-CN"/>
        </w:rPr>
        <w:t>八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）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val="en-US" w:eastAsia="zh-CN"/>
        </w:rPr>
        <w:t>212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城乡社区支出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val="en-US" w:eastAsia="zh-CN"/>
        </w:rPr>
        <w:t>8678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万元，较上年</w:t>
      </w:r>
      <w:r>
        <w:rPr>
          <w:rFonts w:hint="eastAsia" w:ascii="仿宋" w:hAnsi="仿宋" w:eastAsia="仿宋" w:cs="仿宋"/>
          <w:b w:val="0"/>
          <w:i w:val="0"/>
          <w:color w:val="auto"/>
          <w:sz w:val="32"/>
          <w:szCs w:val="32"/>
          <w:highlight w:val="none"/>
          <w:u w:val="none"/>
          <w:lang w:eastAsia="zh-CN"/>
        </w:rPr>
        <w:t>预算数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eastAsia="zh-CN"/>
        </w:rPr>
        <w:t>增加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val="en-US" w:eastAsia="zh-CN"/>
        </w:rPr>
        <w:t>2916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eastAsia="zh-CN"/>
        </w:rPr>
        <w:t>增长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val="en-US" w:eastAsia="zh-CN"/>
        </w:rPr>
        <w:t>50.6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%。主要原因是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eastAsia="zh-CN"/>
        </w:rPr>
        <w:t>“十四五”规划编制、国投公司补助等增加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。其中：</w:t>
      </w:r>
    </w:p>
    <w:p>
      <w:pPr>
        <w:pBdr>
          <w:bottom w:val="single" w:color="FFFFFF" w:sz="4" w:space="31"/>
        </w:pBdr>
        <w:adjustRightInd w:val="0"/>
        <w:spacing w:line="560" w:lineRule="exact"/>
        <w:ind w:firstLine="640" w:firstLineChars="200"/>
        <w:rPr>
          <w:rFonts w:hint="eastAsia" w:ascii="仿宋_GB2312" w:hAnsi="宋体" w:eastAsia="仿宋_GB2312" w:cs="宋体"/>
          <w:color w:val="111111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color w:val="111111"/>
          <w:sz w:val="32"/>
          <w:szCs w:val="32"/>
          <w:lang w:val="en-US" w:eastAsia="zh-CN"/>
        </w:rPr>
        <w:t>1.21201城乡社区管理事务148万元，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较上年</w:t>
      </w:r>
      <w:r>
        <w:rPr>
          <w:rFonts w:hint="eastAsia" w:ascii="仿宋" w:hAnsi="仿宋" w:eastAsia="仿宋" w:cs="仿宋"/>
          <w:b w:val="0"/>
          <w:i w:val="0"/>
          <w:color w:val="auto"/>
          <w:sz w:val="32"/>
          <w:szCs w:val="32"/>
          <w:highlight w:val="none"/>
          <w:u w:val="none"/>
          <w:lang w:eastAsia="zh-CN"/>
        </w:rPr>
        <w:t>预算数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eastAsia="zh-CN"/>
        </w:rPr>
        <w:t>增加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万元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eastAsia="zh-CN"/>
        </w:rPr>
        <w:t>，增长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val="en-US" w:eastAsia="zh-CN"/>
        </w:rPr>
        <w:t>0.7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%。主要原因是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eastAsia="zh-CN"/>
        </w:rPr>
        <w:t>专项“整治”经费增加。</w:t>
      </w:r>
    </w:p>
    <w:p>
      <w:pPr>
        <w:pBdr>
          <w:bottom w:val="single" w:color="FFFFFF" w:sz="4" w:space="31"/>
        </w:pBdr>
        <w:adjustRightInd w:val="0"/>
        <w:spacing w:line="560" w:lineRule="exact"/>
        <w:ind w:firstLine="640" w:firstLineChars="200"/>
        <w:rPr>
          <w:rFonts w:hint="eastAsia" w:ascii="仿宋_GB2312" w:hAnsi="宋体" w:eastAsia="仿宋_GB2312" w:cs="宋体"/>
          <w:color w:val="111111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color w:val="111111"/>
          <w:sz w:val="32"/>
          <w:szCs w:val="32"/>
          <w:lang w:val="en-US" w:eastAsia="zh-CN"/>
        </w:rPr>
        <w:t>2.21202城乡社区规划与管理(款)50万元，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较上年</w:t>
      </w:r>
      <w:r>
        <w:rPr>
          <w:rFonts w:hint="eastAsia" w:ascii="仿宋" w:hAnsi="仿宋" w:eastAsia="仿宋" w:cs="仿宋"/>
          <w:b w:val="0"/>
          <w:i w:val="0"/>
          <w:color w:val="auto"/>
          <w:sz w:val="32"/>
          <w:szCs w:val="32"/>
          <w:highlight w:val="none"/>
          <w:u w:val="none"/>
          <w:lang w:eastAsia="zh-CN"/>
        </w:rPr>
        <w:t>预算数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eastAsia="zh-CN"/>
        </w:rPr>
        <w:t>减少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val="en-US" w:eastAsia="zh-CN"/>
        </w:rPr>
        <w:t>50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万元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eastAsia="zh-CN"/>
        </w:rPr>
        <w:t>，下降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val="en-US" w:eastAsia="zh-CN"/>
        </w:rPr>
        <w:t>50%。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主要原因是编制我区产业发展规划和服务业发展规划等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eastAsia="zh-CN"/>
        </w:rPr>
        <w:t>减少。</w:t>
      </w:r>
    </w:p>
    <w:p>
      <w:pPr>
        <w:pBdr>
          <w:bottom w:val="single" w:color="FFFFFF" w:sz="4" w:space="31"/>
        </w:pBdr>
        <w:adjustRightInd w:val="0"/>
        <w:spacing w:line="560" w:lineRule="exact"/>
        <w:ind w:firstLine="640" w:firstLineChars="200"/>
        <w:rPr>
          <w:rFonts w:hint="eastAsia" w:ascii="仿宋_GB2312" w:hAnsi="宋体" w:eastAsia="仿宋_GB2312" w:cs="宋体"/>
          <w:color w:val="111111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color w:val="111111"/>
          <w:sz w:val="32"/>
          <w:szCs w:val="32"/>
          <w:lang w:val="en-US" w:eastAsia="zh-CN"/>
        </w:rPr>
        <w:t>3.21205城乡社区环境卫生(款)1203万元，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较上年</w:t>
      </w:r>
      <w:r>
        <w:rPr>
          <w:rFonts w:hint="eastAsia" w:ascii="仿宋" w:hAnsi="仿宋" w:eastAsia="仿宋" w:cs="仿宋"/>
          <w:b w:val="0"/>
          <w:i w:val="0"/>
          <w:color w:val="auto"/>
          <w:sz w:val="32"/>
          <w:szCs w:val="32"/>
          <w:highlight w:val="none"/>
          <w:u w:val="none"/>
          <w:lang w:eastAsia="zh-CN"/>
        </w:rPr>
        <w:t>预算数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eastAsia="zh-CN"/>
        </w:rPr>
        <w:t>增加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val="en-US" w:eastAsia="zh-CN"/>
        </w:rPr>
        <w:t>127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万元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eastAsia="zh-CN"/>
        </w:rPr>
        <w:t>，增长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val="en-US" w:eastAsia="zh-CN"/>
        </w:rPr>
        <w:t>11.8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%。主要原因是市政经费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eastAsia="zh-CN"/>
        </w:rPr>
        <w:t>增加。</w:t>
      </w:r>
    </w:p>
    <w:p>
      <w:pPr>
        <w:pBdr>
          <w:bottom w:val="single" w:color="FFFFFF" w:sz="4" w:space="31"/>
        </w:pBdr>
        <w:adjustRightInd w:val="0"/>
        <w:spacing w:line="560" w:lineRule="exact"/>
        <w:ind w:firstLine="640" w:firstLineChars="200"/>
        <w:rPr>
          <w:rFonts w:hint="eastAsia" w:ascii="仿宋_GB2312" w:hAnsi="宋体" w:eastAsia="仿宋_GB2312" w:cs="宋体"/>
          <w:color w:val="111111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color w:val="111111"/>
          <w:sz w:val="32"/>
          <w:szCs w:val="32"/>
          <w:lang w:val="en-US" w:eastAsia="zh-CN"/>
        </w:rPr>
        <w:t>4.21206建设市场管理与监督(款)60万元，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较上年</w:t>
      </w:r>
      <w:r>
        <w:rPr>
          <w:rFonts w:hint="eastAsia" w:ascii="仿宋" w:hAnsi="仿宋" w:eastAsia="仿宋" w:cs="仿宋"/>
          <w:b w:val="0"/>
          <w:i w:val="0"/>
          <w:color w:val="auto"/>
          <w:sz w:val="32"/>
          <w:szCs w:val="32"/>
          <w:highlight w:val="none"/>
          <w:u w:val="none"/>
          <w:lang w:eastAsia="zh-CN"/>
        </w:rPr>
        <w:t>预算数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eastAsia="zh-CN"/>
        </w:rPr>
        <w:t>增加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万元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eastAsia="zh-CN"/>
        </w:rPr>
        <w:t>，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val="en-US" w:eastAsia="zh-CN"/>
        </w:rPr>
        <w:t>增长0%。与上年持平。</w:t>
      </w:r>
    </w:p>
    <w:p>
      <w:pPr>
        <w:pBdr>
          <w:bottom w:val="single" w:color="FFFFFF" w:sz="4" w:space="31"/>
        </w:pBdr>
        <w:adjustRightInd w:val="0"/>
        <w:spacing w:line="560" w:lineRule="exact"/>
        <w:ind w:firstLine="640" w:firstLineChars="200"/>
        <w:rPr>
          <w:rFonts w:ascii="仿宋_GB2312" w:hAnsi="宋体" w:eastAsia="仿宋_GB2312" w:cs="宋体"/>
          <w:color w:val="111111"/>
          <w:sz w:val="32"/>
          <w:szCs w:val="32"/>
        </w:rPr>
      </w:pPr>
      <w:r>
        <w:rPr>
          <w:rFonts w:hint="eastAsia" w:ascii="仿宋_GB2312" w:hAnsi="宋体" w:eastAsia="仿宋_GB2312" w:cs="宋体"/>
          <w:color w:val="111111"/>
          <w:sz w:val="32"/>
          <w:szCs w:val="32"/>
          <w:lang w:val="en-US" w:eastAsia="zh-CN"/>
        </w:rPr>
        <w:t>5.</w:t>
      </w:r>
      <w:r>
        <w:rPr>
          <w:rFonts w:ascii="仿宋_GB2312" w:hAnsi="宋体" w:eastAsia="仿宋_GB2312" w:cs="宋体"/>
          <w:color w:val="111111"/>
          <w:sz w:val="32"/>
          <w:szCs w:val="32"/>
        </w:rPr>
        <w:t>21299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其他城乡社区支出(款)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val="en-US" w:eastAsia="zh-CN"/>
        </w:rPr>
        <w:t>7217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万元，较上年</w:t>
      </w:r>
      <w:r>
        <w:rPr>
          <w:rFonts w:hint="eastAsia" w:ascii="仿宋" w:hAnsi="仿宋" w:eastAsia="仿宋" w:cs="仿宋"/>
          <w:b w:val="0"/>
          <w:i w:val="0"/>
          <w:color w:val="auto"/>
          <w:sz w:val="32"/>
          <w:szCs w:val="32"/>
          <w:highlight w:val="none"/>
          <w:u w:val="none"/>
          <w:lang w:eastAsia="zh-CN"/>
        </w:rPr>
        <w:t>预算数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eastAsia="zh-CN"/>
        </w:rPr>
        <w:t>增加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val="en-US" w:eastAsia="zh-CN"/>
        </w:rPr>
        <w:t>2838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eastAsia="zh-CN"/>
        </w:rPr>
        <w:t>增长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val="en-US" w:eastAsia="zh-CN"/>
        </w:rPr>
        <w:t>64.8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%。主要原因是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eastAsia="zh-CN"/>
        </w:rPr>
        <w:t>国投公司补助增加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。</w:t>
      </w:r>
    </w:p>
    <w:p>
      <w:pPr>
        <w:pBdr>
          <w:bottom w:val="single" w:color="FFFFFF" w:sz="4" w:space="31"/>
        </w:pBdr>
        <w:adjustRightInd w:val="0"/>
        <w:spacing w:line="560" w:lineRule="exact"/>
        <w:ind w:firstLine="640" w:firstLineChars="200"/>
        <w:rPr>
          <w:rFonts w:ascii="楷体" w:hAnsi="楷体" w:eastAsia="楷体" w:cs="宋体"/>
          <w:b/>
          <w:color w:val="111111"/>
          <w:sz w:val="32"/>
          <w:szCs w:val="32"/>
        </w:rPr>
      </w:pPr>
      <w:r>
        <w:rPr>
          <w:rFonts w:hint="eastAsia" w:ascii="仿宋_GB2312" w:hAnsi="宋体" w:eastAsia="仿宋_GB2312" w:cs="宋体"/>
          <w:color w:val="111111"/>
          <w:sz w:val="32"/>
          <w:szCs w:val="32"/>
        </w:rPr>
        <w:t>（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eastAsia="zh-CN"/>
        </w:rPr>
        <w:t>九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）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val="en-US" w:eastAsia="zh-CN"/>
        </w:rPr>
        <w:t>215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资源勘探信息等支出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val="en-US" w:eastAsia="zh-CN"/>
        </w:rPr>
        <w:t>4310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万元，较上年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eastAsia="zh-CN"/>
        </w:rPr>
        <w:t>预算数增加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val="en-US" w:eastAsia="zh-CN"/>
        </w:rPr>
        <w:t>1220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eastAsia="zh-CN"/>
        </w:rPr>
        <w:t>增长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val="en-US" w:eastAsia="zh-CN"/>
        </w:rPr>
        <w:t>39.5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%。主要原因企业奖励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eastAsia="zh-CN"/>
        </w:rPr>
        <w:t>增加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。其中：</w:t>
      </w:r>
    </w:p>
    <w:p>
      <w:pPr>
        <w:pBdr>
          <w:bottom w:val="single" w:color="FFFFFF" w:sz="4" w:space="31"/>
        </w:pBdr>
        <w:adjustRightInd w:val="0"/>
        <w:spacing w:line="560" w:lineRule="exact"/>
        <w:ind w:firstLine="640" w:firstLineChars="200"/>
        <w:rPr>
          <w:rFonts w:ascii="仿宋_GB2312" w:hAnsi="宋体" w:eastAsia="仿宋_GB2312" w:cs="宋体"/>
          <w:color w:val="111111"/>
          <w:sz w:val="32"/>
          <w:szCs w:val="32"/>
        </w:rPr>
      </w:pPr>
      <w:r>
        <w:rPr>
          <w:rFonts w:hint="eastAsia" w:ascii="仿宋_GB2312" w:hAnsi="宋体" w:eastAsia="仿宋_GB2312" w:cs="宋体"/>
          <w:color w:val="111111"/>
          <w:sz w:val="32"/>
          <w:szCs w:val="32"/>
        </w:rPr>
        <w:t>1.</w:t>
      </w:r>
      <w:r>
        <w:t xml:space="preserve"> </w:t>
      </w:r>
      <w:r>
        <w:rPr>
          <w:rFonts w:ascii="仿宋_GB2312" w:hAnsi="宋体" w:eastAsia="仿宋_GB2312" w:cs="宋体"/>
          <w:color w:val="111111"/>
          <w:sz w:val="32"/>
          <w:szCs w:val="32"/>
        </w:rPr>
        <w:t>21508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支持中小企业发展和管理支出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val="en-US" w:eastAsia="zh-CN"/>
        </w:rPr>
        <w:t>4310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万元，较上年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eastAsia="zh-CN"/>
        </w:rPr>
        <w:t>预算数增加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val="en-US" w:eastAsia="zh-CN"/>
        </w:rPr>
        <w:t>1220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eastAsia="zh-CN"/>
        </w:rPr>
        <w:t>增长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val="en-US" w:eastAsia="zh-CN"/>
        </w:rPr>
        <w:t>39.5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%。主要原因企业奖励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eastAsia="zh-CN"/>
        </w:rPr>
        <w:t>增加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。</w:t>
      </w:r>
    </w:p>
    <w:p>
      <w:pPr>
        <w:pBdr>
          <w:bottom w:val="single" w:color="FFFFFF" w:sz="4" w:space="31"/>
        </w:pBdr>
        <w:adjustRightInd w:val="0"/>
        <w:spacing w:line="560" w:lineRule="exact"/>
        <w:ind w:firstLine="640" w:firstLineChars="200"/>
        <w:rPr>
          <w:rFonts w:hint="eastAsia" w:ascii="仿宋_GB2312" w:hAnsi="宋体" w:eastAsia="仿宋_GB2312" w:cs="宋体"/>
          <w:color w:val="111111"/>
          <w:sz w:val="32"/>
          <w:szCs w:val="32"/>
        </w:rPr>
      </w:pPr>
      <w:r>
        <w:rPr>
          <w:rFonts w:hint="eastAsia" w:ascii="仿宋_GB2312" w:hAnsi="宋体" w:eastAsia="仿宋_GB2312" w:cs="宋体"/>
          <w:color w:val="111111"/>
          <w:sz w:val="32"/>
          <w:szCs w:val="32"/>
        </w:rPr>
        <w:t>（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eastAsia="zh-CN"/>
        </w:rPr>
        <w:t>十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）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val="en-US" w:eastAsia="zh-CN"/>
        </w:rPr>
        <w:t>220自然资源海洋气象等支出225万元，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较上年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eastAsia="zh-CN"/>
        </w:rPr>
        <w:t>预算数增加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val="en-US" w:eastAsia="zh-CN"/>
        </w:rPr>
        <w:t>225万元，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主要原因规划项目服务类采购费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eastAsia="zh-CN"/>
        </w:rPr>
        <w:t>增加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。</w:t>
      </w:r>
    </w:p>
    <w:p>
      <w:pPr>
        <w:pBdr>
          <w:bottom w:val="single" w:color="FFFFFF" w:sz="4" w:space="31"/>
        </w:pBdr>
        <w:adjustRightInd w:val="0"/>
        <w:spacing w:line="560" w:lineRule="exact"/>
        <w:ind w:firstLine="640" w:firstLineChars="200"/>
        <w:rPr>
          <w:rFonts w:hint="eastAsia" w:ascii="仿宋_GB2312" w:hAnsi="宋体" w:eastAsia="仿宋_GB2312" w:cs="宋体"/>
          <w:color w:val="111111"/>
          <w:sz w:val="32"/>
          <w:szCs w:val="32"/>
        </w:rPr>
      </w:pPr>
      <w:r>
        <w:rPr>
          <w:rFonts w:hint="eastAsia" w:ascii="仿宋_GB2312" w:hAnsi="宋体" w:eastAsia="仿宋_GB2312" w:cs="宋体"/>
          <w:color w:val="111111"/>
          <w:sz w:val="32"/>
          <w:szCs w:val="32"/>
          <w:lang w:val="en-US" w:eastAsia="zh-CN"/>
        </w:rPr>
        <w:t>1.22001自然资源事务支出225万元，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较上年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eastAsia="zh-CN"/>
        </w:rPr>
        <w:t>预算数增加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val="en-US" w:eastAsia="zh-CN"/>
        </w:rPr>
        <w:t>225万元，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主要原因规划项目服务类采购费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eastAsia="zh-CN"/>
        </w:rPr>
        <w:t>增加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。</w:t>
      </w:r>
    </w:p>
    <w:p>
      <w:pPr>
        <w:pBdr>
          <w:bottom w:val="single" w:color="FFFFFF" w:sz="4" w:space="31"/>
        </w:pBdr>
        <w:adjustRightInd w:val="0"/>
        <w:spacing w:line="560" w:lineRule="exact"/>
        <w:ind w:firstLine="640" w:firstLineChars="200"/>
        <w:rPr>
          <w:rFonts w:hint="eastAsia" w:ascii="仿宋_GB2312" w:hAnsi="宋体" w:eastAsia="仿宋_GB2312" w:cs="宋体"/>
          <w:color w:val="111111"/>
          <w:sz w:val="32"/>
          <w:szCs w:val="32"/>
        </w:rPr>
      </w:pPr>
      <w:r>
        <w:rPr>
          <w:rFonts w:hint="eastAsia" w:ascii="仿宋_GB2312" w:hAnsi="宋体" w:eastAsia="仿宋_GB2312" w:cs="宋体"/>
          <w:color w:val="111111"/>
          <w:sz w:val="32"/>
          <w:szCs w:val="32"/>
        </w:rPr>
        <w:t>（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eastAsia="zh-CN"/>
        </w:rPr>
        <w:t>十一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）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val="en-US" w:eastAsia="zh-CN"/>
        </w:rPr>
        <w:t>221住房保障支出370万元，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较上年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eastAsia="zh-CN"/>
        </w:rPr>
        <w:t>预算数增加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val="en-US" w:eastAsia="zh-CN"/>
        </w:rPr>
        <w:t>370万元，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主要原因是公积金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eastAsia="zh-CN"/>
        </w:rPr>
        <w:t>增加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。</w:t>
      </w:r>
    </w:p>
    <w:p>
      <w:pPr>
        <w:pBdr>
          <w:bottom w:val="single" w:color="FFFFFF" w:sz="4" w:space="31"/>
        </w:pBdr>
        <w:adjustRightInd w:val="0"/>
        <w:spacing w:line="560" w:lineRule="exact"/>
        <w:ind w:firstLine="640" w:firstLineChars="200"/>
        <w:rPr>
          <w:rFonts w:hint="default" w:ascii="仿宋_GB2312" w:hAnsi="宋体" w:eastAsia="仿宋_GB2312" w:cs="宋体"/>
          <w:color w:val="111111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color w:val="111111"/>
          <w:sz w:val="32"/>
          <w:szCs w:val="32"/>
          <w:lang w:val="en-US" w:eastAsia="zh-CN"/>
        </w:rPr>
        <w:t>1.22102住房改革支出370万元，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较上年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eastAsia="zh-CN"/>
        </w:rPr>
        <w:t>预算数增加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val="en-US" w:eastAsia="zh-CN"/>
        </w:rPr>
        <w:t>370万元，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主要原因是公积金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eastAsia="zh-CN"/>
        </w:rPr>
        <w:t>增加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。</w:t>
      </w:r>
    </w:p>
    <w:p>
      <w:pPr>
        <w:pBdr>
          <w:bottom w:val="single" w:color="FFFFFF" w:sz="4" w:space="31"/>
        </w:pBdr>
        <w:adjustRightInd w:val="0"/>
        <w:spacing w:line="560" w:lineRule="exact"/>
        <w:ind w:firstLine="640" w:firstLineChars="200"/>
        <w:rPr>
          <w:rFonts w:hint="eastAsia" w:ascii="仿宋_GB2312" w:hAnsi="宋体" w:eastAsia="仿宋_GB2312" w:cs="宋体"/>
          <w:color w:val="111111"/>
          <w:sz w:val="32"/>
          <w:szCs w:val="32"/>
        </w:rPr>
      </w:pPr>
      <w:r>
        <w:rPr>
          <w:rFonts w:hint="eastAsia" w:ascii="仿宋_GB2312" w:hAnsi="宋体" w:eastAsia="仿宋_GB2312" w:cs="宋体"/>
          <w:color w:val="111111"/>
          <w:sz w:val="32"/>
          <w:szCs w:val="32"/>
        </w:rPr>
        <w:t>（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eastAsia="zh-CN"/>
        </w:rPr>
        <w:t>十二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）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val="en-US" w:eastAsia="zh-CN"/>
        </w:rPr>
        <w:t>224灾害防治及应急管理支出401万元，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较上年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eastAsia="zh-CN"/>
        </w:rPr>
        <w:t>预算数减少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val="en-US" w:eastAsia="zh-CN"/>
        </w:rPr>
        <w:t>355万元，下降47%。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主要原因是消防站建设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eastAsia="zh-CN"/>
        </w:rPr>
        <w:t>、全区隐患排查经费减少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。</w:t>
      </w:r>
    </w:p>
    <w:p>
      <w:pPr>
        <w:pBdr>
          <w:bottom w:val="single" w:color="FFFFFF" w:sz="4" w:space="31"/>
        </w:pBdr>
        <w:adjustRightInd w:val="0"/>
        <w:spacing w:line="560" w:lineRule="exact"/>
        <w:ind w:firstLine="640" w:firstLineChars="200"/>
        <w:rPr>
          <w:rFonts w:hint="eastAsia" w:ascii="仿宋_GB2312" w:hAnsi="宋体" w:eastAsia="仿宋_GB2312" w:cs="宋体"/>
          <w:color w:val="111111"/>
          <w:sz w:val="32"/>
          <w:szCs w:val="32"/>
        </w:rPr>
      </w:pPr>
      <w:r>
        <w:rPr>
          <w:rFonts w:hint="eastAsia" w:ascii="仿宋_GB2312" w:hAnsi="宋体" w:eastAsia="仿宋_GB2312" w:cs="宋体"/>
          <w:color w:val="111111"/>
          <w:sz w:val="32"/>
          <w:szCs w:val="32"/>
          <w:lang w:val="en-US" w:eastAsia="zh-CN"/>
        </w:rPr>
        <w:t>1.22401应急管理支出71万元，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较上年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eastAsia="zh-CN"/>
        </w:rPr>
        <w:t>预算数减少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val="en-US" w:eastAsia="zh-CN"/>
        </w:rPr>
        <w:t>15万元，下降17.4%。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主要原因是全区隐患排查经费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eastAsia="zh-CN"/>
        </w:rPr>
        <w:t>减少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。</w:t>
      </w:r>
    </w:p>
    <w:p>
      <w:pPr>
        <w:pBdr>
          <w:bottom w:val="single" w:color="FFFFFF" w:sz="4" w:space="31"/>
        </w:pBdr>
        <w:adjustRightInd w:val="0"/>
        <w:spacing w:line="560" w:lineRule="exact"/>
        <w:ind w:firstLine="640" w:firstLineChars="200"/>
        <w:rPr>
          <w:rFonts w:hint="default" w:ascii="仿宋_GB2312" w:hAnsi="宋体" w:eastAsia="仿宋_GB2312" w:cs="宋体"/>
          <w:color w:val="111111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color w:val="111111"/>
          <w:sz w:val="32"/>
          <w:szCs w:val="32"/>
          <w:lang w:val="en-US" w:eastAsia="zh-CN"/>
        </w:rPr>
        <w:t>2.22402消防事务330万元，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较上年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eastAsia="zh-CN"/>
        </w:rPr>
        <w:t>预算数减少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val="en-US" w:eastAsia="zh-CN"/>
        </w:rPr>
        <w:t>340万元，下降50.7%。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主要原因是消防站建设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eastAsia="zh-CN"/>
        </w:rPr>
        <w:t>减少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。</w:t>
      </w:r>
    </w:p>
    <w:p>
      <w:pPr>
        <w:pBdr>
          <w:bottom w:val="single" w:color="FFFFFF" w:sz="4" w:space="31"/>
        </w:pBdr>
        <w:adjustRightInd w:val="0"/>
        <w:spacing w:line="560" w:lineRule="exact"/>
        <w:ind w:firstLine="640" w:firstLineChars="200"/>
        <w:rPr>
          <w:rFonts w:ascii="楷体" w:hAnsi="楷体" w:eastAsia="楷体" w:cs="宋体"/>
          <w:b/>
          <w:color w:val="111111"/>
          <w:sz w:val="32"/>
          <w:szCs w:val="32"/>
        </w:rPr>
      </w:pPr>
      <w:r>
        <w:rPr>
          <w:rFonts w:hint="eastAsia" w:ascii="仿宋_GB2312" w:hAnsi="宋体" w:eastAsia="仿宋_GB2312" w:cs="宋体"/>
          <w:color w:val="111111"/>
          <w:sz w:val="32"/>
          <w:szCs w:val="32"/>
        </w:rPr>
        <w:t>（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eastAsia="zh-CN"/>
        </w:rPr>
        <w:t>十三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）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val="en-US" w:eastAsia="zh-CN"/>
        </w:rPr>
        <w:t>229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其他支出(类)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val="en-US" w:eastAsia="zh-CN"/>
        </w:rPr>
        <w:t>410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万元，较上年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eastAsia="zh-CN"/>
        </w:rPr>
        <w:t>预算数增加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val="en-US" w:eastAsia="zh-CN"/>
        </w:rPr>
        <w:t>110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eastAsia="zh-CN"/>
        </w:rPr>
        <w:t>增长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val="en-US" w:eastAsia="zh-CN"/>
        </w:rPr>
        <w:t>36.7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%。主要原因是援藏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eastAsia="zh-CN"/>
        </w:rPr>
        <w:t>、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援疆资金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eastAsia="zh-CN"/>
        </w:rPr>
        <w:t>增加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。其中：</w:t>
      </w:r>
    </w:p>
    <w:p>
      <w:pPr>
        <w:numPr>
          <w:ilvl w:val="0"/>
          <w:numId w:val="0"/>
        </w:numPr>
        <w:pBdr>
          <w:bottom w:val="single" w:color="FFFFFF" w:sz="4" w:space="31"/>
        </w:pBdr>
        <w:adjustRightInd w:val="0"/>
        <w:spacing w:line="240" w:lineRule="auto"/>
        <w:ind w:firstLine="640" w:firstLineChars="200"/>
        <w:rPr>
          <w:rFonts w:hint="eastAsia" w:ascii="仿宋_GB2312" w:hAnsi="宋体" w:eastAsia="仿宋_GB2312" w:cs="宋体"/>
          <w:color w:val="111111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color w:val="111111"/>
          <w:sz w:val="32"/>
          <w:szCs w:val="32"/>
          <w:lang w:val="en-US" w:eastAsia="zh-CN"/>
        </w:rPr>
        <w:t>1.</w:t>
      </w:r>
      <w:r>
        <w:rPr>
          <w:rFonts w:ascii="仿宋_GB2312" w:hAnsi="宋体" w:eastAsia="仿宋_GB2312" w:cs="宋体"/>
          <w:color w:val="111111"/>
          <w:sz w:val="32"/>
          <w:szCs w:val="32"/>
        </w:rPr>
        <w:t>22999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其他支出(款)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val="en-US" w:eastAsia="zh-CN"/>
        </w:rPr>
        <w:t>410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万元，较上年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eastAsia="zh-CN"/>
        </w:rPr>
        <w:t>预算数增加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val="en-US" w:eastAsia="zh-CN"/>
        </w:rPr>
        <w:t>110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eastAsia="zh-CN"/>
        </w:rPr>
        <w:t>增长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val="en-US" w:eastAsia="zh-CN"/>
        </w:rPr>
        <w:t>36.7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%。主要原因是援藏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eastAsia="zh-CN"/>
        </w:rPr>
        <w:t>、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援疆资金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eastAsia="zh-CN"/>
        </w:rPr>
        <w:t>增加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。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val="en-US" w:eastAsia="zh-CN"/>
        </w:rPr>
        <w:t xml:space="preserve">       </w:t>
      </w:r>
    </w:p>
    <w:p>
      <w:pPr>
        <w:numPr>
          <w:ilvl w:val="0"/>
          <w:numId w:val="0"/>
        </w:numPr>
        <w:pBdr>
          <w:bottom w:val="single" w:color="FFFFFF" w:sz="4" w:space="31"/>
        </w:pBdr>
        <w:adjustRightInd w:val="0"/>
        <w:spacing w:line="240" w:lineRule="auto"/>
        <w:ind w:firstLine="640" w:firstLineChars="200"/>
        <w:rPr>
          <w:rFonts w:ascii="楷体" w:hAnsi="楷体" w:eastAsia="楷体" w:cs="宋体"/>
          <w:b/>
          <w:color w:val="111111"/>
          <w:sz w:val="32"/>
          <w:szCs w:val="32"/>
        </w:rPr>
      </w:pPr>
      <w:r>
        <w:rPr>
          <w:rFonts w:hint="eastAsia" w:ascii="仿宋_GB2312" w:hAnsi="宋体" w:eastAsia="仿宋_GB2312" w:cs="宋体"/>
          <w:color w:val="111111"/>
          <w:sz w:val="32"/>
          <w:szCs w:val="32"/>
        </w:rPr>
        <w:t>（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eastAsia="zh-CN"/>
        </w:rPr>
        <w:t>十四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）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val="en-US" w:eastAsia="zh-CN"/>
        </w:rPr>
        <w:t>232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债务付息支出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val="en-US" w:eastAsia="zh-CN"/>
        </w:rPr>
        <w:t>5916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万元，较上年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eastAsia="zh-CN"/>
        </w:rPr>
        <w:t>预算数增加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val="en-US" w:eastAsia="zh-CN"/>
        </w:rPr>
        <w:t>116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eastAsia="zh-CN"/>
        </w:rPr>
        <w:t>增长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val="en-US" w:eastAsia="zh-CN"/>
        </w:rPr>
        <w:t>2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%。其中：</w:t>
      </w:r>
    </w:p>
    <w:p>
      <w:pPr>
        <w:numPr>
          <w:ilvl w:val="0"/>
          <w:numId w:val="1"/>
        </w:numPr>
        <w:pBdr>
          <w:bottom w:val="single" w:color="FFFFFF" w:sz="4" w:space="31"/>
        </w:pBdr>
        <w:adjustRightInd w:val="0"/>
        <w:spacing w:line="560" w:lineRule="exact"/>
        <w:ind w:firstLine="640" w:firstLineChars="200"/>
        <w:rPr>
          <w:rFonts w:hint="eastAsia" w:ascii="仿宋_GB2312" w:hAnsi="宋体" w:eastAsia="仿宋_GB2312" w:cs="宋体"/>
          <w:color w:val="111111"/>
          <w:sz w:val="32"/>
          <w:szCs w:val="32"/>
        </w:rPr>
      </w:pPr>
      <w:r>
        <w:rPr>
          <w:rFonts w:ascii="仿宋_GB2312" w:hAnsi="宋体" w:eastAsia="仿宋_GB2312" w:cs="宋体"/>
          <w:color w:val="111111"/>
          <w:sz w:val="32"/>
          <w:szCs w:val="32"/>
        </w:rPr>
        <w:t>23203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地方政府一般债务付息支出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val="en-US" w:eastAsia="zh-CN"/>
        </w:rPr>
        <w:t>5916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万元，较上年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eastAsia="zh-CN"/>
        </w:rPr>
        <w:t>预算数增加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val="en-US" w:eastAsia="zh-CN"/>
        </w:rPr>
        <w:t>116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eastAsia="zh-CN"/>
        </w:rPr>
        <w:t>增长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val="en-US" w:eastAsia="zh-CN"/>
        </w:rPr>
        <w:t>2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%。</w:t>
      </w:r>
    </w:p>
    <w:p>
      <w:pPr>
        <w:numPr>
          <w:ilvl w:val="0"/>
          <w:numId w:val="0"/>
        </w:numPr>
        <w:pBdr>
          <w:bottom w:val="single" w:color="FFFFFF" w:sz="4" w:space="31"/>
        </w:pBdr>
        <w:adjustRightInd w:val="0"/>
        <w:spacing w:line="560" w:lineRule="exact"/>
        <w:ind w:firstLine="640" w:firstLineChars="200"/>
        <w:rPr>
          <w:rFonts w:ascii="楷体" w:hAnsi="楷体" w:eastAsia="楷体" w:cs="宋体"/>
          <w:b/>
          <w:color w:val="111111"/>
          <w:sz w:val="32"/>
          <w:szCs w:val="32"/>
        </w:rPr>
      </w:pPr>
      <w:r>
        <w:rPr>
          <w:rFonts w:hint="eastAsia" w:ascii="仿宋_GB2312" w:hAnsi="宋体" w:eastAsia="仿宋_GB2312" w:cs="宋体"/>
          <w:color w:val="111111"/>
          <w:sz w:val="32"/>
          <w:szCs w:val="32"/>
        </w:rPr>
        <w:t>（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eastAsia="zh-CN"/>
        </w:rPr>
        <w:t>十五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）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val="en-US" w:eastAsia="zh-CN"/>
        </w:rPr>
        <w:t>233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债务发行费用支出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val="en-US" w:eastAsia="zh-CN"/>
        </w:rPr>
        <w:t>2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万元，</w:t>
      </w:r>
      <w:r>
        <w:rPr>
          <w:rFonts w:hint="eastAsia" w:ascii="仿宋" w:hAnsi="仿宋" w:eastAsia="仿宋" w:cs="仿宋"/>
          <w:b w:val="0"/>
          <w:i w:val="0"/>
          <w:color w:val="auto"/>
          <w:sz w:val="32"/>
          <w:szCs w:val="32"/>
          <w:highlight w:val="none"/>
          <w:u w:val="none"/>
          <w:lang w:eastAsia="zh-CN"/>
        </w:rPr>
        <w:t>较上年预算数减少</w:t>
      </w:r>
      <w:r>
        <w:rPr>
          <w:rFonts w:hint="eastAsia" w:ascii="仿宋" w:hAnsi="仿宋" w:eastAsia="仿宋" w:cs="仿宋"/>
          <w:b w:val="0"/>
          <w:i w:val="0"/>
          <w:color w:val="auto"/>
          <w:sz w:val="32"/>
          <w:szCs w:val="32"/>
          <w:highlight w:val="none"/>
          <w:u w:val="none"/>
          <w:lang w:val="en-US" w:eastAsia="zh-CN"/>
        </w:rPr>
        <w:t>33</w:t>
      </w:r>
      <w:r>
        <w:rPr>
          <w:rFonts w:hint="eastAsia" w:ascii="仿宋" w:hAnsi="仿宋" w:eastAsia="仿宋" w:cs="仿宋"/>
          <w:b w:val="0"/>
          <w:i w:val="0"/>
          <w:color w:val="auto"/>
          <w:sz w:val="32"/>
          <w:szCs w:val="32"/>
          <w:highlight w:val="none"/>
          <w:u w:val="none"/>
          <w:lang w:eastAsia="zh-CN"/>
        </w:rPr>
        <w:t>万元，下降</w:t>
      </w:r>
      <w:r>
        <w:rPr>
          <w:rFonts w:hint="eastAsia" w:ascii="仿宋" w:hAnsi="仿宋" w:eastAsia="仿宋" w:cs="仿宋"/>
          <w:b w:val="0"/>
          <w:i w:val="0"/>
          <w:color w:val="auto"/>
          <w:sz w:val="32"/>
          <w:szCs w:val="32"/>
          <w:highlight w:val="none"/>
          <w:u w:val="none"/>
          <w:lang w:val="en-US" w:eastAsia="zh-CN"/>
        </w:rPr>
        <w:t>94.3</w:t>
      </w:r>
      <w:r>
        <w:rPr>
          <w:rFonts w:hint="eastAsia" w:ascii="仿宋" w:hAnsi="仿宋" w:eastAsia="仿宋" w:cs="仿宋"/>
          <w:b w:val="0"/>
          <w:i w:val="0"/>
          <w:color w:val="auto"/>
          <w:sz w:val="32"/>
          <w:szCs w:val="32"/>
          <w:highlight w:val="none"/>
          <w:u w:val="none"/>
          <w:lang w:eastAsia="zh-CN"/>
        </w:rPr>
        <w:t>%。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其中：</w:t>
      </w:r>
    </w:p>
    <w:p>
      <w:pPr>
        <w:numPr>
          <w:ilvl w:val="0"/>
          <w:numId w:val="2"/>
        </w:numPr>
        <w:pBdr>
          <w:bottom w:val="single" w:color="FFFFFF" w:sz="4" w:space="31"/>
        </w:pBdr>
        <w:adjustRightInd w:val="0"/>
        <w:spacing w:line="560" w:lineRule="exact"/>
        <w:ind w:firstLine="640" w:firstLineChars="200"/>
        <w:rPr>
          <w:rFonts w:hint="eastAsia" w:ascii="仿宋" w:hAnsi="仿宋" w:eastAsia="仿宋" w:cs="仿宋"/>
          <w:b w:val="0"/>
          <w:i w:val="0"/>
          <w:color w:val="auto"/>
          <w:sz w:val="32"/>
          <w:szCs w:val="32"/>
          <w:highlight w:val="none"/>
          <w:u w:val="none"/>
          <w:lang w:eastAsia="zh-CN"/>
        </w:rPr>
      </w:pPr>
      <w:r>
        <w:rPr>
          <w:rFonts w:ascii="仿宋_GB2312" w:hAnsi="宋体" w:eastAsia="仿宋_GB2312" w:cs="宋体"/>
          <w:color w:val="111111"/>
          <w:sz w:val="32"/>
          <w:szCs w:val="32"/>
        </w:rPr>
        <w:t>23303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地方政府一般债务发行费用支出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val="en-US" w:eastAsia="zh-CN"/>
        </w:rPr>
        <w:t>2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万元，</w:t>
      </w:r>
      <w:r>
        <w:rPr>
          <w:rFonts w:hint="eastAsia" w:ascii="仿宋" w:hAnsi="仿宋" w:eastAsia="仿宋" w:cs="仿宋"/>
          <w:b w:val="0"/>
          <w:i w:val="0"/>
          <w:color w:val="auto"/>
          <w:sz w:val="32"/>
          <w:szCs w:val="32"/>
          <w:highlight w:val="none"/>
          <w:u w:val="none"/>
          <w:lang w:eastAsia="zh-CN"/>
        </w:rPr>
        <w:t>较上年预算数减少</w:t>
      </w:r>
      <w:r>
        <w:rPr>
          <w:rFonts w:hint="eastAsia" w:ascii="仿宋" w:hAnsi="仿宋" w:eastAsia="仿宋" w:cs="仿宋"/>
          <w:b w:val="0"/>
          <w:i w:val="0"/>
          <w:color w:val="auto"/>
          <w:sz w:val="32"/>
          <w:szCs w:val="32"/>
          <w:highlight w:val="none"/>
          <w:u w:val="none"/>
          <w:lang w:val="en-US" w:eastAsia="zh-CN"/>
        </w:rPr>
        <w:t>33</w:t>
      </w:r>
      <w:r>
        <w:rPr>
          <w:rFonts w:hint="eastAsia" w:ascii="仿宋" w:hAnsi="仿宋" w:eastAsia="仿宋" w:cs="仿宋"/>
          <w:b w:val="0"/>
          <w:i w:val="0"/>
          <w:color w:val="auto"/>
          <w:sz w:val="32"/>
          <w:szCs w:val="32"/>
          <w:highlight w:val="none"/>
          <w:u w:val="none"/>
          <w:lang w:eastAsia="zh-CN"/>
        </w:rPr>
        <w:t>万元，下降</w:t>
      </w:r>
      <w:r>
        <w:rPr>
          <w:rFonts w:hint="eastAsia" w:ascii="仿宋" w:hAnsi="仿宋" w:eastAsia="仿宋" w:cs="仿宋"/>
          <w:b w:val="0"/>
          <w:i w:val="0"/>
          <w:color w:val="auto"/>
          <w:sz w:val="32"/>
          <w:szCs w:val="32"/>
          <w:highlight w:val="none"/>
          <w:u w:val="none"/>
          <w:lang w:val="en-US" w:eastAsia="zh-CN"/>
        </w:rPr>
        <w:t>94.3</w:t>
      </w:r>
      <w:r>
        <w:rPr>
          <w:rFonts w:hint="eastAsia" w:ascii="仿宋" w:hAnsi="仿宋" w:eastAsia="仿宋" w:cs="仿宋"/>
          <w:b w:val="0"/>
          <w:i w:val="0"/>
          <w:color w:val="auto"/>
          <w:sz w:val="32"/>
          <w:szCs w:val="32"/>
          <w:highlight w:val="none"/>
          <w:u w:val="none"/>
          <w:lang w:eastAsia="zh-CN"/>
        </w:rPr>
        <w:t>%。</w:t>
      </w:r>
    </w:p>
    <w:p>
      <w:pPr>
        <w:numPr>
          <w:ilvl w:val="0"/>
          <w:numId w:val="0"/>
        </w:numPr>
        <w:pBdr>
          <w:bottom w:val="single" w:color="FFFFFF" w:sz="4" w:space="31"/>
        </w:pBdr>
        <w:adjustRightInd w:val="0"/>
        <w:spacing w:line="560" w:lineRule="exact"/>
        <w:ind w:firstLine="640" w:firstLineChars="200"/>
        <w:rPr>
          <w:rFonts w:ascii="仿宋_GB2312" w:hAnsi="宋体" w:eastAsia="仿宋_GB2312" w:cs="宋体"/>
          <w:color w:val="111111"/>
          <w:sz w:val="32"/>
          <w:szCs w:val="32"/>
        </w:rPr>
      </w:pPr>
      <w:r>
        <w:rPr>
          <w:rFonts w:hint="eastAsia" w:ascii="仿宋_GB2312" w:hAnsi="宋体" w:eastAsia="仿宋_GB2312" w:cs="宋体"/>
          <w:color w:val="111111"/>
          <w:sz w:val="32"/>
          <w:szCs w:val="32"/>
        </w:rPr>
        <w:t>（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eastAsia="zh-CN"/>
        </w:rPr>
        <w:t>十六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）预备费支出</w:t>
      </w:r>
      <w:r>
        <w:rPr>
          <w:rFonts w:hint="eastAsia" w:ascii="仿宋_GB2312" w:hAnsi="宋体" w:eastAsia="仿宋_GB2312" w:cs="宋体"/>
          <w:color w:val="111111"/>
          <w:sz w:val="32"/>
          <w:szCs w:val="32"/>
          <w:lang w:val="en-US" w:eastAsia="zh-CN"/>
        </w:rPr>
        <w:t>385</w:t>
      </w:r>
      <w:r>
        <w:rPr>
          <w:rFonts w:hint="eastAsia" w:ascii="仿宋_GB2312" w:hAnsi="宋体" w:eastAsia="仿宋_GB2312" w:cs="宋体"/>
          <w:color w:val="111111"/>
          <w:sz w:val="32"/>
          <w:szCs w:val="32"/>
        </w:rPr>
        <w:t>万元，主要原因根据《预算法》的要求</w:t>
      </w:r>
      <w:r>
        <w:rPr>
          <w:rFonts w:hint="eastAsia" w:ascii="仿宋" w:hAnsi="仿宋" w:eastAsia="仿宋"/>
          <w:kern w:val="0"/>
          <w:sz w:val="32"/>
          <w:szCs w:val="32"/>
        </w:rPr>
        <w:t>按支出预算的1-3%安排预备费。</w:t>
      </w:r>
    </w:p>
    <w:p>
      <w:pPr>
        <w:pBdr>
          <w:bottom w:val="single" w:color="FFFFFF" w:sz="4" w:space="31"/>
        </w:pBdr>
        <w:adjustRightInd w:val="0"/>
        <w:spacing w:line="560" w:lineRule="exact"/>
        <w:ind w:firstLine="640" w:firstLineChars="200"/>
        <w:rPr>
          <w:rFonts w:ascii="仿宋_GB2312" w:hAnsi="宋体" w:eastAsia="仿宋_GB2312" w:cs="宋体"/>
          <w:color w:val="111111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二、财政转移支付安排情况</w:t>
      </w:r>
    </w:p>
    <w:p>
      <w:pPr>
        <w:pBdr>
          <w:bottom w:val="single" w:color="FFFFFF" w:sz="4" w:space="31"/>
        </w:pBdr>
        <w:adjustRightInd w:val="0"/>
        <w:spacing w:line="560" w:lineRule="exact"/>
        <w:ind w:firstLine="640" w:firstLineChars="200"/>
        <w:rPr>
          <w:rFonts w:ascii="仿宋_GB2312" w:hAnsi="宋体" w:eastAsia="仿宋_GB2312" w:cs="宋体"/>
          <w:color w:val="111111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20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20</w:t>
      </w:r>
      <w:r>
        <w:rPr>
          <w:rFonts w:hint="eastAsia" w:ascii="仿宋" w:hAnsi="仿宋" w:eastAsia="仿宋" w:cs="Arial"/>
          <w:kern w:val="0"/>
          <w:sz w:val="32"/>
          <w:szCs w:val="32"/>
        </w:rPr>
        <w:t>年度经开区对下税收返还和转移支付预算数为0万元，比20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19</w:t>
      </w:r>
      <w:r>
        <w:rPr>
          <w:rFonts w:hint="eastAsia" w:ascii="仿宋" w:hAnsi="仿宋" w:eastAsia="仿宋" w:cs="Arial"/>
          <w:kern w:val="0"/>
          <w:sz w:val="32"/>
          <w:szCs w:val="32"/>
        </w:rPr>
        <w:t>年度预算数</w:t>
      </w:r>
      <w:r>
        <w:rPr>
          <w:rFonts w:hint="eastAsia" w:ascii="仿宋" w:hAnsi="仿宋" w:eastAsia="仿宋"/>
          <w:kern w:val="0"/>
          <w:sz w:val="32"/>
          <w:szCs w:val="32"/>
        </w:rPr>
        <w:t>持平，未有一般公共预算对下税收返还和转移支付预算数据</w:t>
      </w:r>
      <w:r>
        <w:rPr>
          <w:rFonts w:hint="eastAsia" w:ascii="仿宋" w:hAnsi="仿宋" w:eastAsia="仿宋" w:cs="Arial"/>
          <w:kern w:val="0"/>
          <w:sz w:val="32"/>
          <w:szCs w:val="32"/>
        </w:rPr>
        <w:t>。具体情况如下：</w:t>
      </w:r>
    </w:p>
    <w:p>
      <w:pPr>
        <w:pBdr>
          <w:bottom w:val="single" w:color="FFFFFF" w:sz="4" w:space="31"/>
        </w:pBdr>
        <w:adjustRightInd w:val="0"/>
        <w:spacing w:line="560" w:lineRule="exact"/>
        <w:ind w:firstLine="643" w:firstLineChars="200"/>
        <w:rPr>
          <w:rStyle w:val="7"/>
          <w:rFonts w:ascii="仿宋_GB2312" w:hAnsi="宋体" w:eastAsia="仿宋_GB2312" w:cs="宋体"/>
          <w:b w:val="0"/>
          <w:bCs w:val="0"/>
          <w:color w:val="111111"/>
          <w:sz w:val="32"/>
          <w:szCs w:val="32"/>
        </w:rPr>
      </w:pPr>
      <w:r>
        <w:rPr>
          <w:rFonts w:hint="eastAsia" w:ascii="楷体" w:hAnsi="楷体" w:eastAsia="楷体" w:cs="Arial"/>
          <w:b/>
          <w:kern w:val="0"/>
          <w:sz w:val="32"/>
          <w:szCs w:val="32"/>
        </w:rPr>
        <w:t>（一）</w:t>
      </w:r>
      <w:r>
        <w:rPr>
          <w:rStyle w:val="7"/>
          <w:rFonts w:hint="eastAsia" w:ascii="楷体" w:hAnsi="楷体" w:eastAsia="楷体" w:cs="Arial"/>
          <w:kern w:val="0"/>
          <w:sz w:val="32"/>
          <w:szCs w:val="32"/>
        </w:rPr>
        <w:t>一般性转移支付</w:t>
      </w:r>
    </w:p>
    <w:p>
      <w:pPr>
        <w:pBdr>
          <w:bottom w:val="single" w:color="FFFFFF" w:sz="4" w:space="31"/>
        </w:pBdr>
        <w:adjustRightInd w:val="0"/>
        <w:spacing w:line="560" w:lineRule="exact"/>
        <w:ind w:firstLine="640" w:firstLineChars="200"/>
        <w:rPr>
          <w:rFonts w:ascii="仿宋_GB2312" w:hAnsi="宋体" w:eastAsia="仿宋_GB2312" w:cs="宋体"/>
          <w:color w:val="111111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20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20</w:t>
      </w:r>
      <w:r>
        <w:rPr>
          <w:rFonts w:hint="eastAsia" w:ascii="仿宋" w:hAnsi="仿宋" w:eastAsia="仿宋" w:cs="Arial"/>
          <w:kern w:val="0"/>
          <w:sz w:val="32"/>
          <w:szCs w:val="32"/>
        </w:rPr>
        <w:t>年度经开区</w:t>
      </w:r>
      <w:bookmarkStart w:id="0" w:name="_GoBack"/>
      <w:bookmarkEnd w:id="0"/>
      <w:r>
        <w:rPr>
          <w:rFonts w:hint="eastAsia" w:ascii="仿宋" w:hAnsi="仿宋" w:eastAsia="仿宋" w:cs="Arial"/>
          <w:kern w:val="0"/>
          <w:sz w:val="32"/>
          <w:szCs w:val="32"/>
        </w:rPr>
        <w:t>对下一般转移支付预算数为0万元，比20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19</w:t>
      </w:r>
      <w:r>
        <w:rPr>
          <w:rFonts w:hint="eastAsia" w:ascii="仿宋" w:hAnsi="仿宋" w:eastAsia="仿宋" w:cs="Arial"/>
          <w:kern w:val="0"/>
          <w:sz w:val="32"/>
          <w:szCs w:val="32"/>
        </w:rPr>
        <w:t>年度预算数</w:t>
      </w:r>
      <w:r>
        <w:rPr>
          <w:rFonts w:hint="eastAsia" w:ascii="仿宋" w:hAnsi="仿宋" w:eastAsia="仿宋"/>
          <w:kern w:val="0"/>
          <w:sz w:val="32"/>
          <w:szCs w:val="32"/>
        </w:rPr>
        <w:t>持平，未有一般公共预算</w:t>
      </w:r>
      <w:r>
        <w:rPr>
          <w:rFonts w:hint="eastAsia" w:ascii="仿宋" w:hAnsi="仿宋" w:eastAsia="仿宋" w:cs="Arial"/>
          <w:kern w:val="0"/>
          <w:sz w:val="32"/>
          <w:szCs w:val="32"/>
        </w:rPr>
        <w:t>对下一般性转移支付预算数据。具体情况如下（分项目表述）：</w:t>
      </w:r>
    </w:p>
    <w:p>
      <w:pPr>
        <w:pBdr>
          <w:bottom w:val="single" w:color="FFFFFF" w:sz="4" w:space="31"/>
        </w:pBdr>
        <w:adjustRightInd w:val="0"/>
        <w:spacing w:line="560" w:lineRule="exact"/>
        <w:ind w:firstLine="643" w:firstLineChars="200"/>
        <w:rPr>
          <w:rStyle w:val="7"/>
          <w:rFonts w:ascii="仿宋_GB2312" w:hAnsi="宋体" w:eastAsia="仿宋_GB2312" w:cs="宋体"/>
          <w:b w:val="0"/>
          <w:bCs w:val="0"/>
          <w:color w:val="111111"/>
          <w:sz w:val="32"/>
          <w:szCs w:val="32"/>
        </w:rPr>
      </w:pPr>
      <w:r>
        <w:rPr>
          <w:rFonts w:hint="eastAsia" w:ascii="楷体" w:hAnsi="楷体" w:eastAsia="楷体" w:cs="Arial"/>
          <w:b/>
          <w:kern w:val="0"/>
          <w:sz w:val="32"/>
          <w:szCs w:val="32"/>
        </w:rPr>
        <w:t>（二）</w:t>
      </w:r>
      <w:r>
        <w:rPr>
          <w:rStyle w:val="7"/>
          <w:rFonts w:hint="eastAsia" w:ascii="楷体" w:hAnsi="楷体" w:eastAsia="楷体" w:cs="Arial"/>
          <w:kern w:val="0"/>
          <w:sz w:val="32"/>
          <w:szCs w:val="32"/>
        </w:rPr>
        <w:t>专项转移支付</w:t>
      </w:r>
    </w:p>
    <w:p>
      <w:pPr>
        <w:pBdr>
          <w:bottom w:val="single" w:color="FFFFFF" w:sz="4" w:space="31"/>
        </w:pBdr>
        <w:adjustRightInd w:val="0"/>
        <w:spacing w:line="560" w:lineRule="exact"/>
        <w:ind w:firstLine="640" w:firstLineChars="200"/>
        <w:rPr>
          <w:rFonts w:ascii="仿宋_GB2312" w:hAnsi="宋体" w:eastAsia="仿宋_GB2312" w:cs="宋体"/>
          <w:color w:val="111111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20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20</w:t>
      </w:r>
      <w:r>
        <w:rPr>
          <w:rFonts w:hint="eastAsia" w:ascii="仿宋" w:hAnsi="仿宋" w:eastAsia="仿宋" w:cs="Arial"/>
          <w:kern w:val="0"/>
          <w:sz w:val="32"/>
          <w:szCs w:val="32"/>
        </w:rPr>
        <w:t>年度经开区对下专项转移支付预算数为0万元，比20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19</w:t>
      </w:r>
      <w:r>
        <w:rPr>
          <w:rFonts w:hint="eastAsia" w:ascii="仿宋" w:hAnsi="仿宋" w:eastAsia="仿宋" w:cs="Arial"/>
          <w:kern w:val="0"/>
          <w:sz w:val="32"/>
          <w:szCs w:val="32"/>
        </w:rPr>
        <w:t>年度预算数</w:t>
      </w:r>
      <w:r>
        <w:rPr>
          <w:rFonts w:hint="eastAsia" w:ascii="仿宋" w:hAnsi="仿宋" w:eastAsia="仿宋"/>
          <w:kern w:val="0"/>
          <w:sz w:val="32"/>
          <w:szCs w:val="32"/>
        </w:rPr>
        <w:t>持平，未有一般公共预算对下专项转移支付预算数据</w:t>
      </w:r>
      <w:r>
        <w:rPr>
          <w:rFonts w:hint="eastAsia" w:ascii="仿宋" w:hAnsi="仿宋" w:eastAsia="仿宋" w:cs="Arial"/>
          <w:kern w:val="0"/>
          <w:sz w:val="32"/>
          <w:szCs w:val="32"/>
        </w:rPr>
        <w:t>。具体情况如下（分项目表述）：</w:t>
      </w:r>
    </w:p>
    <w:p>
      <w:pPr>
        <w:pBdr>
          <w:bottom w:val="single" w:color="FFFFFF" w:sz="4" w:space="31"/>
        </w:pBdr>
        <w:adjustRightInd w:val="0"/>
        <w:spacing w:line="560" w:lineRule="exact"/>
        <w:ind w:firstLine="643" w:firstLineChars="200"/>
        <w:rPr>
          <w:rStyle w:val="7"/>
          <w:rFonts w:ascii="仿宋_GB2312" w:hAnsi="宋体" w:eastAsia="仿宋_GB2312" w:cs="宋体"/>
          <w:b w:val="0"/>
          <w:bCs w:val="0"/>
          <w:color w:val="111111"/>
          <w:sz w:val="32"/>
          <w:szCs w:val="32"/>
        </w:rPr>
      </w:pPr>
      <w:r>
        <w:rPr>
          <w:rFonts w:hint="eastAsia" w:ascii="楷体" w:hAnsi="楷体" w:eastAsia="楷体" w:cs="Arial"/>
          <w:b/>
          <w:kern w:val="0"/>
          <w:sz w:val="32"/>
          <w:szCs w:val="32"/>
        </w:rPr>
        <w:t>（三）</w:t>
      </w:r>
      <w:r>
        <w:rPr>
          <w:rStyle w:val="7"/>
          <w:rFonts w:hint="eastAsia" w:ascii="楷体" w:hAnsi="楷体" w:eastAsia="楷体" w:cs="Arial"/>
          <w:kern w:val="0"/>
          <w:sz w:val="32"/>
          <w:szCs w:val="32"/>
        </w:rPr>
        <w:t>税收返还</w:t>
      </w:r>
    </w:p>
    <w:p>
      <w:pPr>
        <w:pBdr>
          <w:bottom w:val="single" w:color="FFFFFF" w:sz="4" w:space="31"/>
        </w:pBdr>
        <w:adjustRightInd w:val="0"/>
        <w:spacing w:line="56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20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20</w:t>
      </w:r>
      <w:r>
        <w:rPr>
          <w:rFonts w:hint="eastAsia" w:ascii="仿宋" w:hAnsi="仿宋" w:eastAsia="仿宋" w:cs="Arial"/>
          <w:kern w:val="0"/>
          <w:sz w:val="32"/>
          <w:szCs w:val="32"/>
        </w:rPr>
        <w:t>年度经开区对下税收返还预算数为0万元，比20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19</w:t>
      </w:r>
      <w:r>
        <w:rPr>
          <w:rFonts w:hint="eastAsia" w:ascii="仿宋" w:hAnsi="仿宋" w:eastAsia="仿宋" w:cs="Arial"/>
          <w:kern w:val="0"/>
          <w:sz w:val="32"/>
          <w:szCs w:val="32"/>
        </w:rPr>
        <w:t>年度预算数</w:t>
      </w:r>
      <w:r>
        <w:rPr>
          <w:rFonts w:hint="eastAsia" w:ascii="仿宋" w:hAnsi="仿宋" w:eastAsia="仿宋"/>
          <w:kern w:val="0"/>
          <w:sz w:val="32"/>
          <w:szCs w:val="32"/>
        </w:rPr>
        <w:t>持平，未有一般公共预算对下税收返还预算数据</w:t>
      </w:r>
      <w:r>
        <w:rPr>
          <w:rFonts w:hint="eastAsia" w:ascii="仿宋" w:hAnsi="仿宋" w:eastAsia="仿宋" w:cs="Arial"/>
          <w:kern w:val="0"/>
          <w:sz w:val="32"/>
          <w:szCs w:val="32"/>
        </w:rPr>
        <w:t>。具体情况如下（分项目表述）：</w:t>
      </w:r>
    </w:p>
    <w:p>
      <w:pPr>
        <w:pBdr>
          <w:bottom w:val="single" w:color="FFFFFF" w:sz="4" w:space="31"/>
        </w:pBdr>
        <w:adjustRightInd w:val="0"/>
        <w:spacing w:line="560" w:lineRule="exact"/>
        <w:ind w:firstLine="640" w:firstLineChars="200"/>
        <w:rPr>
          <w:rFonts w:ascii="仿宋_GB2312" w:hAnsi="宋体" w:eastAsia="仿宋_GB2312" w:cs="宋体"/>
          <w:color w:val="111111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三、举借政府债务情况</w:t>
      </w:r>
    </w:p>
    <w:p>
      <w:pPr>
        <w:pBdr>
          <w:bottom w:val="single" w:color="FFFFFF" w:sz="4" w:space="31"/>
        </w:pBdr>
        <w:adjustRightInd w:val="0"/>
        <w:spacing w:line="560" w:lineRule="exact"/>
        <w:ind w:firstLine="640" w:firstLineChars="200"/>
        <w:rPr>
          <w:rFonts w:ascii="仿宋_GB2312" w:hAnsi="宋体" w:eastAsia="仿宋_GB2312" w:cs="宋体"/>
          <w:color w:val="111111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20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19</w:t>
      </w:r>
      <w:r>
        <w:rPr>
          <w:rFonts w:hint="eastAsia" w:ascii="仿宋" w:hAnsi="仿宋" w:eastAsia="仿宋"/>
          <w:snapToGrid w:val="0"/>
          <w:kern w:val="0"/>
          <w:sz w:val="32"/>
          <w:szCs w:val="32"/>
        </w:rPr>
        <w:t>年，新增一般</w:t>
      </w:r>
      <w:r>
        <w:rPr>
          <w:rFonts w:hint="eastAsia" w:ascii="仿宋" w:hAnsi="仿宋" w:eastAsia="仿宋"/>
          <w:snapToGrid w:val="0"/>
          <w:kern w:val="0"/>
          <w:sz w:val="32"/>
          <w:szCs w:val="32"/>
          <w:lang w:eastAsia="zh-CN"/>
        </w:rPr>
        <w:t>债务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1000</w:t>
      </w:r>
      <w:r>
        <w:rPr>
          <w:rFonts w:hint="eastAsia" w:ascii="仿宋" w:hAnsi="仿宋" w:eastAsia="仿宋"/>
          <w:kern w:val="0"/>
          <w:sz w:val="32"/>
          <w:szCs w:val="32"/>
        </w:rPr>
        <w:t>万元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，新增专项债务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4000万元</w:t>
      </w:r>
      <w:r>
        <w:rPr>
          <w:rFonts w:hint="eastAsia" w:ascii="仿宋" w:hAnsi="仿宋" w:eastAsia="仿宋"/>
          <w:snapToGrid w:val="0"/>
          <w:kern w:val="0"/>
          <w:sz w:val="32"/>
          <w:szCs w:val="32"/>
        </w:rPr>
        <w:t>。截至</w:t>
      </w:r>
      <w:r>
        <w:rPr>
          <w:rFonts w:hint="eastAsia" w:ascii="仿宋" w:hAnsi="仿宋" w:eastAsia="仿宋"/>
          <w:kern w:val="0"/>
          <w:sz w:val="32"/>
          <w:szCs w:val="32"/>
        </w:rPr>
        <w:t>20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19</w:t>
      </w:r>
      <w:r>
        <w:rPr>
          <w:rFonts w:hint="eastAsia" w:ascii="仿宋" w:hAnsi="仿宋" w:eastAsia="仿宋"/>
          <w:snapToGrid w:val="0"/>
          <w:kern w:val="0"/>
          <w:sz w:val="32"/>
          <w:szCs w:val="32"/>
        </w:rPr>
        <w:t>年底，经开区政府债务余额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519292</w:t>
      </w:r>
      <w:r>
        <w:rPr>
          <w:rFonts w:hint="eastAsia" w:ascii="仿宋" w:hAnsi="仿宋" w:eastAsia="仿宋"/>
          <w:kern w:val="0"/>
          <w:sz w:val="32"/>
          <w:szCs w:val="32"/>
        </w:rPr>
        <w:t>万元</w:t>
      </w:r>
      <w:r>
        <w:rPr>
          <w:rFonts w:hint="eastAsia" w:ascii="仿宋" w:hAnsi="仿宋" w:eastAsia="仿宋"/>
          <w:snapToGrid w:val="0"/>
          <w:kern w:val="0"/>
          <w:sz w:val="32"/>
          <w:szCs w:val="32"/>
        </w:rPr>
        <w:t>（</w:t>
      </w:r>
      <w:r>
        <w:rPr>
          <w:rFonts w:hint="eastAsia" w:ascii="仿宋" w:hAnsi="仿宋" w:eastAsia="仿宋"/>
          <w:snapToGrid w:val="0"/>
          <w:kern w:val="0"/>
          <w:sz w:val="32"/>
          <w:szCs w:val="32"/>
          <w:lang w:eastAsia="zh-CN"/>
        </w:rPr>
        <w:t>其中：</w:t>
      </w:r>
      <w:r>
        <w:rPr>
          <w:rFonts w:hint="eastAsia" w:ascii="仿宋" w:hAnsi="仿宋" w:eastAsia="仿宋"/>
          <w:snapToGrid w:val="0"/>
          <w:kern w:val="0"/>
          <w:sz w:val="32"/>
          <w:szCs w:val="32"/>
        </w:rPr>
        <w:t>一般债务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180933</w:t>
      </w:r>
      <w:r>
        <w:rPr>
          <w:rFonts w:hint="eastAsia" w:ascii="仿宋" w:hAnsi="仿宋" w:eastAsia="仿宋"/>
          <w:kern w:val="0"/>
          <w:sz w:val="32"/>
          <w:szCs w:val="32"/>
        </w:rPr>
        <w:t>万元</w:t>
      </w:r>
      <w:r>
        <w:rPr>
          <w:rFonts w:hint="eastAsia" w:ascii="仿宋" w:hAnsi="仿宋" w:eastAsia="仿宋"/>
          <w:snapToGrid w:val="0"/>
          <w:kern w:val="0"/>
          <w:sz w:val="32"/>
          <w:szCs w:val="32"/>
        </w:rPr>
        <w:t>，专项债务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338359</w:t>
      </w:r>
      <w:r>
        <w:rPr>
          <w:rFonts w:hint="eastAsia" w:ascii="仿宋" w:hAnsi="仿宋" w:eastAsia="仿宋"/>
          <w:kern w:val="0"/>
          <w:sz w:val="32"/>
          <w:szCs w:val="32"/>
        </w:rPr>
        <w:t>万元</w:t>
      </w:r>
      <w:r>
        <w:rPr>
          <w:rFonts w:hint="eastAsia" w:ascii="仿宋" w:hAnsi="仿宋" w:eastAsia="仿宋"/>
          <w:snapToGrid w:val="0"/>
          <w:kern w:val="0"/>
          <w:sz w:val="32"/>
          <w:szCs w:val="32"/>
        </w:rPr>
        <w:t>）；债务余额严格控制在上级核定的限额内。</w:t>
      </w:r>
    </w:p>
    <w:p>
      <w:pPr>
        <w:numPr>
          <w:ilvl w:val="0"/>
          <w:numId w:val="3"/>
        </w:numPr>
        <w:pBdr>
          <w:bottom w:val="single" w:color="FFFFFF" w:sz="4" w:space="31"/>
        </w:pBdr>
        <w:adjustRightInd w:val="0"/>
        <w:spacing w:line="560" w:lineRule="exact"/>
        <w:ind w:firstLine="640" w:firstLineChars="200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预算绩效开展情况</w:t>
      </w:r>
    </w:p>
    <w:p>
      <w:pPr>
        <w:numPr>
          <w:ilvl w:val="0"/>
          <w:numId w:val="0"/>
        </w:numPr>
        <w:pBdr>
          <w:bottom w:val="single" w:color="FFFFFF" w:sz="4" w:space="31"/>
        </w:pBdr>
        <w:adjustRightInd w:val="0"/>
        <w:spacing w:line="560" w:lineRule="exact"/>
        <w:ind w:firstLine="640" w:firstLineChars="200"/>
        <w:rPr>
          <w:rFonts w:ascii="仿宋" w:hAnsi="仿宋" w:eastAsia="仿宋"/>
          <w:color w:val="auto"/>
          <w:highlight w:val="none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</w:rPr>
        <w:t>20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lang w:val="en-US" w:eastAsia="zh-CN"/>
        </w:rPr>
        <w:t>19</w:t>
      </w:r>
      <w:r>
        <w:rPr>
          <w:rFonts w:hint="eastAsia" w:ascii="仿宋" w:hAnsi="仿宋" w:eastAsia="仿宋" w:cs="仿宋"/>
          <w:snapToGrid w:val="0"/>
          <w:color w:val="auto"/>
          <w:kern w:val="0"/>
          <w:sz w:val="32"/>
          <w:szCs w:val="32"/>
          <w:highlight w:val="none"/>
        </w:rPr>
        <w:t>年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，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lang w:eastAsia="zh-CN"/>
        </w:rPr>
        <w:t>经开区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</w:rPr>
        <w:t>财政局围绕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lang w:eastAsia="zh-CN"/>
        </w:rPr>
        <w:t>项目建设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</w:rPr>
        <w:t>等重点支出，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对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消防站建设、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2018年度应偿还一般债券利息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等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个财政支出项目开展了重点绩效评价，涉及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区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本级财政资金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lang w:val="en-US" w:eastAsia="zh-CN"/>
        </w:rPr>
        <w:t>6594.92万元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，其中，绩效评价等级“优秀”的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项、“良好”的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项、“一般”的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项。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</w:rPr>
        <w:t>重点评价结果向社会主动公开，并应用于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  <w:lang w:val="en-US" w:eastAsia="zh-CN"/>
        </w:rPr>
        <w:t>2020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</w:rPr>
        <w:t>年部门预算编制</w:t>
      </w:r>
      <w:r>
        <w:rPr>
          <w:rFonts w:hint="eastAsia" w:ascii="仿宋" w:hAnsi="仿宋" w:eastAsia="仿宋" w:cs="仿宋_GB2312"/>
          <w:color w:val="auto"/>
          <w:sz w:val="32"/>
          <w:szCs w:val="32"/>
          <w:highlight w:val="none"/>
        </w:rPr>
        <w:t>。</w:t>
      </w:r>
    </w:p>
    <w:p>
      <w:pPr>
        <w:spacing w:line="600" w:lineRule="exact"/>
        <w:ind w:firstLine="620"/>
        <w:rPr>
          <w:rFonts w:ascii="仿宋" w:hAnsi="仿宋" w:eastAsia="仿宋"/>
          <w:color w:val="auto"/>
          <w:sz w:val="32"/>
          <w:szCs w:val="32"/>
          <w:highlight w:val="none"/>
        </w:rPr>
      </w:pPr>
    </w:p>
    <w:p>
      <w:pPr>
        <w:pBdr>
          <w:bottom w:val="single" w:color="FFFFFF" w:sz="4" w:space="31"/>
        </w:pBdr>
        <w:adjustRightInd w:val="0"/>
        <w:spacing w:line="560" w:lineRule="exact"/>
        <w:ind w:firstLine="640" w:firstLineChars="200"/>
        <w:rPr>
          <w:rFonts w:ascii="仿宋_GB2312" w:hAnsi="宋体" w:eastAsia="仿宋_GB2312" w:cs="宋体"/>
          <w:color w:val="111111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w:pict>
        <v:shape id="_x0000_s4097" o:spid="_x0000_s4097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2"/>
                  <w:rPr>
                    <w:rFonts w:hint="eastAsia" w:eastAsiaTheme="minorEastAsia"/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fldChar w:fldCharType="begin"/>
                </w:r>
                <w:r>
                  <w:rPr>
                    <w:rFonts w:hint="eastAsia"/>
                    <w:lang w:eastAsia="zh-CN"/>
                  </w:rPr>
                  <w:instrText xml:space="preserve"> PAGE  \* MERGEFORMAT </w:instrText>
                </w:r>
                <w:r>
                  <w:rPr>
                    <w:rFonts w:hint="eastAsia"/>
                    <w:lang w:eastAsia="zh-CN"/>
                  </w:rPr>
                  <w:fldChar w:fldCharType="separate"/>
                </w:r>
                <w:r>
                  <w:rPr>
                    <w:rFonts w:hint="eastAsia"/>
                    <w:lang w:eastAsia="zh-CN"/>
                  </w:rPr>
                  <w:t>1</w:t>
                </w:r>
                <w:r>
                  <w:rPr>
                    <w:rFonts w:hint="eastAsia"/>
                    <w:lang w:eastAsia="zh-CN"/>
                  </w:rPr>
                  <w:fldChar w:fldCharType="end"/>
                </w:r>
              </w:p>
            </w:txbxContent>
          </v:textbox>
        </v:shape>
      </w:pic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9DA34EE"/>
    <w:multiLevelType w:val="singleLevel"/>
    <w:tmpl w:val="89DA34EE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968C56A3"/>
    <w:multiLevelType w:val="singleLevel"/>
    <w:tmpl w:val="968C56A3"/>
    <w:lvl w:ilvl="0" w:tentative="0">
      <w:start w:val="1"/>
      <w:numFmt w:val="decimal"/>
      <w:suff w:val="space"/>
      <w:lvlText w:val="%1."/>
      <w:lvlJc w:val="left"/>
    </w:lvl>
  </w:abstractNum>
  <w:abstractNum w:abstractNumId="2">
    <w:nsid w:val="632369C4"/>
    <w:multiLevelType w:val="singleLevel"/>
    <w:tmpl w:val="632369C4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B75A2"/>
    <w:rsid w:val="000016BA"/>
    <w:rsid w:val="000263AA"/>
    <w:rsid w:val="000306E8"/>
    <w:rsid w:val="00032F03"/>
    <w:rsid w:val="00041C17"/>
    <w:rsid w:val="000C4FAE"/>
    <w:rsid w:val="000E6199"/>
    <w:rsid w:val="000F2D3B"/>
    <w:rsid w:val="001056C6"/>
    <w:rsid w:val="001414D4"/>
    <w:rsid w:val="00183708"/>
    <w:rsid w:val="001844F8"/>
    <w:rsid w:val="001B3B79"/>
    <w:rsid w:val="00263DF2"/>
    <w:rsid w:val="00294672"/>
    <w:rsid w:val="002B07B3"/>
    <w:rsid w:val="002E1B76"/>
    <w:rsid w:val="00305073"/>
    <w:rsid w:val="0031192E"/>
    <w:rsid w:val="00321C9C"/>
    <w:rsid w:val="003343AF"/>
    <w:rsid w:val="00334E19"/>
    <w:rsid w:val="00373EA3"/>
    <w:rsid w:val="003817F4"/>
    <w:rsid w:val="003853E7"/>
    <w:rsid w:val="0039731D"/>
    <w:rsid w:val="003F25B7"/>
    <w:rsid w:val="003F3DE2"/>
    <w:rsid w:val="003F4902"/>
    <w:rsid w:val="003F5D94"/>
    <w:rsid w:val="003F719F"/>
    <w:rsid w:val="004B5899"/>
    <w:rsid w:val="004C514B"/>
    <w:rsid w:val="00507787"/>
    <w:rsid w:val="0052618E"/>
    <w:rsid w:val="00552888"/>
    <w:rsid w:val="005570B2"/>
    <w:rsid w:val="005813A4"/>
    <w:rsid w:val="00593D76"/>
    <w:rsid w:val="005959D6"/>
    <w:rsid w:val="005A31B2"/>
    <w:rsid w:val="005C37DD"/>
    <w:rsid w:val="005D6F6D"/>
    <w:rsid w:val="005E3249"/>
    <w:rsid w:val="00600E8B"/>
    <w:rsid w:val="00643B1C"/>
    <w:rsid w:val="00670A2C"/>
    <w:rsid w:val="00695528"/>
    <w:rsid w:val="00695606"/>
    <w:rsid w:val="006B10B0"/>
    <w:rsid w:val="006D123A"/>
    <w:rsid w:val="006E539A"/>
    <w:rsid w:val="00704D6B"/>
    <w:rsid w:val="00716725"/>
    <w:rsid w:val="00742E6E"/>
    <w:rsid w:val="00763D5F"/>
    <w:rsid w:val="00792079"/>
    <w:rsid w:val="007A64BF"/>
    <w:rsid w:val="007C09F6"/>
    <w:rsid w:val="007C1902"/>
    <w:rsid w:val="007C76AB"/>
    <w:rsid w:val="00840BEA"/>
    <w:rsid w:val="008637F8"/>
    <w:rsid w:val="00873099"/>
    <w:rsid w:val="008753E2"/>
    <w:rsid w:val="008B3A62"/>
    <w:rsid w:val="008C3812"/>
    <w:rsid w:val="008D278B"/>
    <w:rsid w:val="008D3D1A"/>
    <w:rsid w:val="008E185A"/>
    <w:rsid w:val="008E34BB"/>
    <w:rsid w:val="00901ADD"/>
    <w:rsid w:val="0090622F"/>
    <w:rsid w:val="00924470"/>
    <w:rsid w:val="00940D05"/>
    <w:rsid w:val="00943FC1"/>
    <w:rsid w:val="00947FC8"/>
    <w:rsid w:val="00955E33"/>
    <w:rsid w:val="0097304E"/>
    <w:rsid w:val="0097665B"/>
    <w:rsid w:val="00995D4A"/>
    <w:rsid w:val="009D017C"/>
    <w:rsid w:val="009D7E3C"/>
    <w:rsid w:val="009E7896"/>
    <w:rsid w:val="00A94E23"/>
    <w:rsid w:val="00A96550"/>
    <w:rsid w:val="00AC6DFA"/>
    <w:rsid w:val="00AF5AAB"/>
    <w:rsid w:val="00BA3459"/>
    <w:rsid w:val="00BB6F33"/>
    <w:rsid w:val="00BB75A2"/>
    <w:rsid w:val="00BC6A85"/>
    <w:rsid w:val="00BE6904"/>
    <w:rsid w:val="00BF5D55"/>
    <w:rsid w:val="00C06895"/>
    <w:rsid w:val="00C0787E"/>
    <w:rsid w:val="00C13853"/>
    <w:rsid w:val="00C32E9A"/>
    <w:rsid w:val="00C40992"/>
    <w:rsid w:val="00C453AF"/>
    <w:rsid w:val="00C72BAF"/>
    <w:rsid w:val="00C91861"/>
    <w:rsid w:val="00C968D6"/>
    <w:rsid w:val="00CA38BA"/>
    <w:rsid w:val="00CE025D"/>
    <w:rsid w:val="00CF3785"/>
    <w:rsid w:val="00D021BD"/>
    <w:rsid w:val="00D061B3"/>
    <w:rsid w:val="00D14FFE"/>
    <w:rsid w:val="00D242BE"/>
    <w:rsid w:val="00D27198"/>
    <w:rsid w:val="00D95EBA"/>
    <w:rsid w:val="00DA54B1"/>
    <w:rsid w:val="00DA649F"/>
    <w:rsid w:val="00DA70DF"/>
    <w:rsid w:val="00DC3217"/>
    <w:rsid w:val="00DD6FFD"/>
    <w:rsid w:val="00DF203F"/>
    <w:rsid w:val="00E21E0B"/>
    <w:rsid w:val="00E56006"/>
    <w:rsid w:val="00E811E0"/>
    <w:rsid w:val="00E86A2E"/>
    <w:rsid w:val="00E9536D"/>
    <w:rsid w:val="00EA3CD8"/>
    <w:rsid w:val="00EF3B44"/>
    <w:rsid w:val="00EF7F8B"/>
    <w:rsid w:val="00F1049E"/>
    <w:rsid w:val="00F234EB"/>
    <w:rsid w:val="00F44752"/>
    <w:rsid w:val="00F900E4"/>
    <w:rsid w:val="00FB0AB6"/>
    <w:rsid w:val="00FD408B"/>
    <w:rsid w:val="00FE31E0"/>
    <w:rsid w:val="030D557A"/>
    <w:rsid w:val="03BB05EA"/>
    <w:rsid w:val="03BE7672"/>
    <w:rsid w:val="03F67F2D"/>
    <w:rsid w:val="04BD03F3"/>
    <w:rsid w:val="04C461B1"/>
    <w:rsid w:val="04D659DC"/>
    <w:rsid w:val="04FC2422"/>
    <w:rsid w:val="054A512D"/>
    <w:rsid w:val="067925CB"/>
    <w:rsid w:val="06BD7E16"/>
    <w:rsid w:val="071D4DB8"/>
    <w:rsid w:val="077403B0"/>
    <w:rsid w:val="07C656DC"/>
    <w:rsid w:val="08027501"/>
    <w:rsid w:val="083610FB"/>
    <w:rsid w:val="08452360"/>
    <w:rsid w:val="098A732F"/>
    <w:rsid w:val="09DA3914"/>
    <w:rsid w:val="0ABB2E9F"/>
    <w:rsid w:val="0AED68BA"/>
    <w:rsid w:val="0B7B050F"/>
    <w:rsid w:val="0B8B3FBA"/>
    <w:rsid w:val="0BC07B9B"/>
    <w:rsid w:val="0BF22900"/>
    <w:rsid w:val="0C7A107B"/>
    <w:rsid w:val="0CD92BCC"/>
    <w:rsid w:val="0CE87ADB"/>
    <w:rsid w:val="0D5744D3"/>
    <w:rsid w:val="0D6B08A9"/>
    <w:rsid w:val="0F4028BD"/>
    <w:rsid w:val="0F4749E8"/>
    <w:rsid w:val="0F626A6F"/>
    <w:rsid w:val="10E54541"/>
    <w:rsid w:val="11521EDE"/>
    <w:rsid w:val="1171207A"/>
    <w:rsid w:val="11871DDE"/>
    <w:rsid w:val="11BF35AB"/>
    <w:rsid w:val="12063B34"/>
    <w:rsid w:val="12190E2C"/>
    <w:rsid w:val="134A3D0B"/>
    <w:rsid w:val="137D7762"/>
    <w:rsid w:val="1401498B"/>
    <w:rsid w:val="140F3B09"/>
    <w:rsid w:val="14354188"/>
    <w:rsid w:val="143566AD"/>
    <w:rsid w:val="14B41681"/>
    <w:rsid w:val="14DF00DD"/>
    <w:rsid w:val="15392C1A"/>
    <w:rsid w:val="15B52919"/>
    <w:rsid w:val="16D32C63"/>
    <w:rsid w:val="17A31760"/>
    <w:rsid w:val="18810DAA"/>
    <w:rsid w:val="188B5609"/>
    <w:rsid w:val="18A07EE9"/>
    <w:rsid w:val="19536EB8"/>
    <w:rsid w:val="1A450757"/>
    <w:rsid w:val="1A695DEB"/>
    <w:rsid w:val="1AFC6934"/>
    <w:rsid w:val="1B3B7117"/>
    <w:rsid w:val="1B7554E0"/>
    <w:rsid w:val="1BDD1E7C"/>
    <w:rsid w:val="1D4B66FB"/>
    <w:rsid w:val="1DB76901"/>
    <w:rsid w:val="1DE34061"/>
    <w:rsid w:val="1E45619A"/>
    <w:rsid w:val="1E573265"/>
    <w:rsid w:val="1EC235DB"/>
    <w:rsid w:val="2007627E"/>
    <w:rsid w:val="20315F72"/>
    <w:rsid w:val="208F12F7"/>
    <w:rsid w:val="20F06339"/>
    <w:rsid w:val="216E26A6"/>
    <w:rsid w:val="21BD1AAD"/>
    <w:rsid w:val="21D07DDF"/>
    <w:rsid w:val="2294230D"/>
    <w:rsid w:val="22FD5EC8"/>
    <w:rsid w:val="232F48C1"/>
    <w:rsid w:val="236B5448"/>
    <w:rsid w:val="23A428F4"/>
    <w:rsid w:val="24751E31"/>
    <w:rsid w:val="24856705"/>
    <w:rsid w:val="24AC23A5"/>
    <w:rsid w:val="24E84195"/>
    <w:rsid w:val="25143435"/>
    <w:rsid w:val="25507EF2"/>
    <w:rsid w:val="259D7316"/>
    <w:rsid w:val="272C5CC7"/>
    <w:rsid w:val="278C662C"/>
    <w:rsid w:val="27B04B12"/>
    <w:rsid w:val="282236CC"/>
    <w:rsid w:val="28985D39"/>
    <w:rsid w:val="28AE5B28"/>
    <w:rsid w:val="28D36CA5"/>
    <w:rsid w:val="297228AD"/>
    <w:rsid w:val="29D0045C"/>
    <w:rsid w:val="29E61E69"/>
    <w:rsid w:val="2A3115C4"/>
    <w:rsid w:val="2AB373BF"/>
    <w:rsid w:val="2AFF4D96"/>
    <w:rsid w:val="2B124E1B"/>
    <w:rsid w:val="2B9866B0"/>
    <w:rsid w:val="2BDB10C8"/>
    <w:rsid w:val="2CF2207D"/>
    <w:rsid w:val="2DA95CEB"/>
    <w:rsid w:val="2DEA0B34"/>
    <w:rsid w:val="2E0A7C9B"/>
    <w:rsid w:val="2E5F3E77"/>
    <w:rsid w:val="2E6D5BC2"/>
    <w:rsid w:val="2EE351E2"/>
    <w:rsid w:val="2EE94ACD"/>
    <w:rsid w:val="30CC720B"/>
    <w:rsid w:val="313747C6"/>
    <w:rsid w:val="314462B2"/>
    <w:rsid w:val="3234697F"/>
    <w:rsid w:val="327E6261"/>
    <w:rsid w:val="32DC166A"/>
    <w:rsid w:val="33892710"/>
    <w:rsid w:val="33FA1839"/>
    <w:rsid w:val="33FD2FAA"/>
    <w:rsid w:val="34082B15"/>
    <w:rsid w:val="345B6396"/>
    <w:rsid w:val="34B61F71"/>
    <w:rsid w:val="35092CBB"/>
    <w:rsid w:val="350F3C27"/>
    <w:rsid w:val="35257937"/>
    <w:rsid w:val="359508B3"/>
    <w:rsid w:val="362D0570"/>
    <w:rsid w:val="36363C41"/>
    <w:rsid w:val="36851232"/>
    <w:rsid w:val="372E6605"/>
    <w:rsid w:val="37493514"/>
    <w:rsid w:val="37D713E7"/>
    <w:rsid w:val="388C0E13"/>
    <w:rsid w:val="39D758C5"/>
    <w:rsid w:val="39E82F27"/>
    <w:rsid w:val="3A5A2B4C"/>
    <w:rsid w:val="3A6137DF"/>
    <w:rsid w:val="3A6449D0"/>
    <w:rsid w:val="3A6E2E89"/>
    <w:rsid w:val="3A82614C"/>
    <w:rsid w:val="3AD555D2"/>
    <w:rsid w:val="3C5071CB"/>
    <w:rsid w:val="3C8C5C8D"/>
    <w:rsid w:val="3CA82B5F"/>
    <w:rsid w:val="3D130BBE"/>
    <w:rsid w:val="3E9526F2"/>
    <w:rsid w:val="3EA80852"/>
    <w:rsid w:val="3F1624D0"/>
    <w:rsid w:val="3F2276CE"/>
    <w:rsid w:val="3F795796"/>
    <w:rsid w:val="3FE07AB6"/>
    <w:rsid w:val="40C8691D"/>
    <w:rsid w:val="418D056B"/>
    <w:rsid w:val="41A859D9"/>
    <w:rsid w:val="41B914E5"/>
    <w:rsid w:val="420D0C6D"/>
    <w:rsid w:val="423F1B78"/>
    <w:rsid w:val="4256214D"/>
    <w:rsid w:val="42850420"/>
    <w:rsid w:val="42E0112C"/>
    <w:rsid w:val="42FE4C10"/>
    <w:rsid w:val="431452B4"/>
    <w:rsid w:val="434113BB"/>
    <w:rsid w:val="43846869"/>
    <w:rsid w:val="43B67227"/>
    <w:rsid w:val="44BB0A5F"/>
    <w:rsid w:val="45004454"/>
    <w:rsid w:val="450D2CA2"/>
    <w:rsid w:val="45B03CEA"/>
    <w:rsid w:val="45FA10F5"/>
    <w:rsid w:val="4668421C"/>
    <w:rsid w:val="471B66D8"/>
    <w:rsid w:val="476D36DF"/>
    <w:rsid w:val="482A0A72"/>
    <w:rsid w:val="48EC1061"/>
    <w:rsid w:val="49084A39"/>
    <w:rsid w:val="492E2DDC"/>
    <w:rsid w:val="49484906"/>
    <w:rsid w:val="495024B6"/>
    <w:rsid w:val="4997569A"/>
    <w:rsid w:val="49BF0762"/>
    <w:rsid w:val="49C10519"/>
    <w:rsid w:val="4A897D68"/>
    <w:rsid w:val="4A9D768C"/>
    <w:rsid w:val="4AF574E4"/>
    <w:rsid w:val="4B6518FC"/>
    <w:rsid w:val="4BB05937"/>
    <w:rsid w:val="4CF652D6"/>
    <w:rsid w:val="4D363766"/>
    <w:rsid w:val="4D43739A"/>
    <w:rsid w:val="4DDA4026"/>
    <w:rsid w:val="4E1978EA"/>
    <w:rsid w:val="4E2F6912"/>
    <w:rsid w:val="4E4046C5"/>
    <w:rsid w:val="4F9345C1"/>
    <w:rsid w:val="4FDA4D14"/>
    <w:rsid w:val="506A4462"/>
    <w:rsid w:val="50AD32F8"/>
    <w:rsid w:val="50BA634E"/>
    <w:rsid w:val="51A72490"/>
    <w:rsid w:val="51F7312F"/>
    <w:rsid w:val="51F85AEA"/>
    <w:rsid w:val="52366AD6"/>
    <w:rsid w:val="53295FAC"/>
    <w:rsid w:val="534F6A1B"/>
    <w:rsid w:val="542B5537"/>
    <w:rsid w:val="55884D3F"/>
    <w:rsid w:val="57F9476E"/>
    <w:rsid w:val="588D74E6"/>
    <w:rsid w:val="59074177"/>
    <w:rsid w:val="591D64ED"/>
    <w:rsid w:val="594335B6"/>
    <w:rsid w:val="59BA4353"/>
    <w:rsid w:val="59CD4EBA"/>
    <w:rsid w:val="5A6A2249"/>
    <w:rsid w:val="5B475B65"/>
    <w:rsid w:val="5B4F3625"/>
    <w:rsid w:val="5BCE7D8D"/>
    <w:rsid w:val="5BD86B31"/>
    <w:rsid w:val="5BDA0476"/>
    <w:rsid w:val="5EE87BA5"/>
    <w:rsid w:val="5F0618B2"/>
    <w:rsid w:val="5F5B5FFC"/>
    <w:rsid w:val="5F5C08D2"/>
    <w:rsid w:val="5FC12913"/>
    <w:rsid w:val="5FD8176D"/>
    <w:rsid w:val="5FF25FCD"/>
    <w:rsid w:val="600D7D92"/>
    <w:rsid w:val="61606D8F"/>
    <w:rsid w:val="623F65DB"/>
    <w:rsid w:val="645F4CDB"/>
    <w:rsid w:val="649D34C0"/>
    <w:rsid w:val="65183020"/>
    <w:rsid w:val="652F2C96"/>
    <w:rsid w:val="65882078"/>
    <w:rsid w:val="65F20EF3"/>
    <w:rsid w:val="66164F39"/>
    <w:rsid w:val="66846F11"/>
    <w:rsid w:val="67224837"/>
    <w:rsid w:val="67CD1915"/>
    <w:rsid w:val="68101078"/>
    <w:rsid w:val="68363314"/>
    <w:rsid w:val="69143B3F"/>
    <w:rsid w:val="691B1957"/>
    <w:rsid w:val="6A503CCD"/>
    <w:rsid w:val="6ADB36F2"/>
    <w:rsid w:val="6BA74D6E"/>
    <w:rsid w:val="6BB60958"/>
    <w:rsid w:val="6BB67D88"/>
    <w:rsid w:val="6C3C3253"/>
    <w:rsid w:val="6C6B512E"/>
    <w:rsid w:val="6CB45837"/>
    <w:rsid w:val="6D0854B6"/>
    <w:rsid w:val="6DD55BFB"/>
    <w:rsid w:val="6E001502"/>
    <w:rsid w:val="6F64442C"/>
    <w:rsid w:val="70971A56"/>
    <w:rsid w:val="718D34D7"/>
    <w:rsid w:val="71F24E7E"/>
    <w:rsid w:val="731C7BCC"/>
    <w:rsid w:val="7357480D"/>
    <w:rsid w:val="743F3C98"/>
    <w:rsid w:val="74872EB4"/>
    <w:rsid w:val="7573192F"/>
    <w:rsid w:val="758A7ACE"/>
    <w:rsid w:val="762E5845"/>
    <w:rsid w:val="766E7D79"/>
    <w:rsid w:val="76B82E62"/>
    <w:rsid w:val="770668E2"/>
    <w:rsid w:val="772E5B71"/>
    <w:rsid w:val="77611A13"/>
    <w:rsid w:val="777D6C85"/>
    <w:rsid w:val="778C000E"/>
    <w:rsid w:val="78726BCE"/>
    <w:rsid w:val="79625320"/>
    <w:rsid w:val="79860DCA"/>
    <w:rsid w:val="79B213FC"/>
    <w:rsid w:val="7A377E20"/>
    <w:rsid w:val="7A75219E"/>
    <w:rsid w:val="7AE40729"/>
    <w:rsid w:val="7B4757A0"/>
    <w:rsid w:val="7B4920E5"/>
    <w:rsid w:val="7C015751"/>
    <w:rsid w:val="7D092A95"/>
    <w:rsid w:val="7D6D0814"/>
    <w:rsid w:val="7E3E1F77"/>
    <w:rsid w:val="7E3F2F1C"/>
    <w:rsid w:val="7EE86EA1"/>
    <w:rsid w:val="7FEC36B8"/>
    <w:rsid w:val="7FF41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  <w:szCs w:val="24"/>
    </w:rPr>
  </w:style>
  <w:style w:type="character" w:styleId="7">
    <w:name w:val="Strong"/>
    <w:basedOn w:val="6"/>
    <w:qFormat/>
    <w:uiPriority w:val="22"/>
    <w:rPr>
      <w:b/>
      <w:bCs/>
    </w:rPr>
  </w:style>
  <w:style w:type="character" w:customStyle="1" w:styleId="8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337</Words>
  <Characters>1924</Characters>
  <Lines>16</Lines>
  <Paragraphs>4</Paragraphs>
  <TotalTime>28</TotalTime>
  <ScaleCrop>false</ScaleCrop>
  <LinksUpToDate>false</LinksUpToDate>
  <CharactersWithSpaces>2257</CharactersWithSpaces>
  <Application>WPS Office_11.1.0.9339_F1E327BC-269C-435d-A152-05C5408002CA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2018-01-15T07:01:00Z</dcterms:created>
  <dc:creator>Administrator</dc:creator>
  <cp:lastModifiedBy>Administrator</cp:lastModifiedBy>
  <cp:lastPrinted>2019-05-07T02:16:00Z</cp:lastPrinted>
  <dcterms:modified xsi:type="dcterms:W3CDTF">2020-01-10T07:14:45Z</dcterms:modified>
  <cp:revision>163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