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073C30">
      <w:pPr>
        <w:keepNext w:val="0"/>
        <w:keepLines w:val="0"/>
        <w:pageBreakBefore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福建省地方标准《工业（产业）园区企业服务通则》</w:t>
      </w:r>
    </w:p>
    <w:p w14:paraId="0889347A">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s="黑体"/>
          <w:sz w:val="40"/>
          <w:szCs w:val="40"/>
        </w:rPr>
      </w:pPr>
      <w:r>
        <w:rPr>
          <w:rFonts w:hint="eastAsia" w:ascii="方正小标宋简体" w:hAnsi="方正小标宋简体" w:eastAsia="方正小标宋简体" w:cs="方正小标宋简体"/>
          <w:sz w:val="40"/>
          <w:szCs w:val="40"/>
        </w:rPr>
        <w:t>编制说明</w:t>
      </w:r>
    </w:p>
    <w:p w14:paraId="1AC6A981">
      <w:pPr>
        <w:keepNext w:val="0"/>
        <w:keepLines w:val="0"/>
        <w:pageBreakBefore w:val="0"/>
        <w:numPr>
          <w:ilvl w:val="0"/>
          <w:numId w:val="5"/>
        </w:numPr>
        <w:kinsoku/>
        <w:wordWrap/>
        <w:overflowPunct/>
        <w:topLinePunct w:val="0"/>
        <w:autoSpaceDE/>
        <w:autoSpaceDN/>
        <w:bidi w:val="0"/>
        <w:adjustRightInd/>
        <w:snapToGrid/>
        <w:spacing w:line="560" w:lineRule="exact"/>
        <w:ind w:firstLine="643" w:firstLineChars="200"/>
        <w:textAlignment w:val="auto"/>
        <w:rPr>
          <w:rFonts w:ascii="黑体" w:hAnsi="黑体" w:eastAsia="黑体" w:cs="黑体"/>
          <w:b/>
          <w:sz w:val="32"/>
          <w:szCs w:val="32"/>
        </w:rPr>
      </w:pPr>
      <w:r>
        <w:rPr>
          <w:rFonts w:hint="eastAsia" w:ascii="黑体" w:hAnsi="黑体" w:eastAsia="黑体" w:cs="黑体"/>
          <w:b/>
          <w:sz w:val="32"/>
          <w:szCs w:val="32"/>
        </w:rPr>
        <w:t>工作简况</w:t>
      </w:r>
    </w:p>
    <w:p w14:paraId="4EB7580D">
      <w:pPr>
        <w:keepNext w:val="0"/>
        <w:keepLines w:val="0"/>
        <w:pageBreakBefore w:val="0"/>
        <w:widowControl/>
        <w:numPr>
          <w:ilvl w:val="0"/>
          <w:numId w:val="6"/>
        </w:numPr>
        <w:kinsoku/>
        <w:wordWrap/>
        <w:overflowPunct/>
        <w:topLinePunct w:val="0"/>
        <w:autoSpaceDE/>
        <w:autoSpaceDN/>
        <w:bidi w:val="0"/>
        <w:adjustRightInd/>
        <w:snapToGrid/>
        <w:spacing w:line="560" w:lineRule="exact"/>
        <w:ind w:firstLine="643" w:firstLineChars="200"/>
        <w:jc w:val="left"/>
        <w:textAlignment w:val="auto"/>
        <w:rPr>
          <w:rFonts w:ascii="楷体_GB2312" w:hAnsi="楷体_GB2312" w:eastAsia="楷体_GB2312" w:cs="楷体_GB2312"/>
          <w:b/>
          <w:bCs/>
          <w:kern w:val="0"/>
          <w:sz w:val="32"/>
          <w:szCs w:val="32"/>
          <w:lang w:bidi="ar"/>
        </w:rPr>
      </w:pPr>
      <w:r>
        <w:rPr>
          <w:rFonts w:hint="eastAsia" w:ascii="楷体_GB2312" w:hAnsi="楷体_GB2312" w:eastAsia="楷体_GB2312" w:cs="楷体_GB2312"/>
          <w:b/>
          <w:bCs/>
          <w:kern w:val="0"/>
          <w:sz w:val="32"/>
          <w:szCs w:val="32"/>
          <w:lang w:bidi="ar"/>
        </w:rPr>
        <w:t>任务来源</w:t>
      </w:r>
    </w:p>
    <w:p w14:paraId="4519666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地方标准《工业（产业）园区企业服务通则》系《福建省市场监管局关于印发202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年第一批福建省地方标准制修订计划项目的通知》（闽市监标准〔202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256</w:t>
      </w:r>
      <w:r>
        <w:rPr>
          <w:rFonts w:hint="eastAsia" w:ascii="仿宋_GB2312" w:hAnsi="仿宋_GB2312" w:eastAsia="仿宋_GB2312" w:cs="仿宋_GB2312"/>
          <w:sz w:val="32"/>
          <w:szCs w:val="32"/>
        </w:rPr>
        <w:t>号）下达的任务，由龙岩高新区（经开区）企业服务中心、</w:t>
      </w:r>
      <w:r>
        <w:rPr>
          <w:rFonts w:hint="eastAsia" w:ascii="仿宋_GB2312" w:hAnsi="仿宋_GB2312" w:eastAsia="仿宋_GB2312" w:cs="仿宋_GB2312"/>
          <w:sz w:val="32"/>
          <w:szCs w:val="32"/>
          <w:lang w:val="en-US" w:eastAsia="zh-CN"/>
        </w:rPr>
        <w:t>福建省标准化研究院、</w:t>
      </w:r>
      <w:r>
        <w:rPr>
          <w:rFonts w:hint="eastAsia" w:ascii="仿宋_GB2312" w:hAnsi="仿宋_GB2312" w:eastAsia="仿宋_GB2312" w:cs="仿宋_GB2312"/>
          <w:sz w:val="32"/>
          <w:szCs w:val="32"/>
        </w:rPr>
        <w:t>福建省标院信息技术有限公司等单位共同起草。</w:t>
      </w:r>
    </w:p>
    <w:p w14:paraId="60E5F21C">
      <w:pPr>
        <w:keepNext w:val="0"/>
        <w:keepLines w:val="0"/>
        <w:pageBreakBefore w:val="0"/>
        <w:widowControl/>
        <w:numPr>
          <w:ilvl w:val="0"/>
          <w:numId w:val="6"/>
        </w:numPr>
        <w:kinsoku/>
        <w:wordWrap/>
        <w:overflowPunct/>
        <w:topLinePunct w:val="0"/>
        <w:autoSpaceDE/>
        <w:autoSpaceDN/>
        <w:bidi w:val="0"/>
        <w:adjustRightInd/>
        <w:snapToGrid/>
        <w:spacing w:line="560" w:lineRule="exact"/>
        <w:ind w:firstLine="643" w:firstLineChars="200"/>
        <w:jc w:val="left"/>
        <w:textAlignment w:val="auto"/>
        <w:rPr>
          <w:rFonts w:ascii="楷体_GB2312" w:hAnsi="楷体_GB2312" w:eastAsia="楷体_GB2312" w:cs="楷体_GB2312"/>
          <w:b/>
          <w:bCs/>
          <w:kern w:val="0"/>
          <w:sz w:val="32"/>
          <w:szCs w:val="32"/>
          <w:lang w:bidi="ar"/>
        </w:rPr>
      </w:pPr>
      <w:r>
        <w:rPr>
          <w:rFonts w:hint="eastAsia" w:ascii="楷体_GB2312" w:hAnsi="楷体_GB2312" w:eastAsia="楷体_GB2312" w:cs="楷体_GB2312"/>
          <w:b/>
          <w:bCs/>
          <w:kern w:val="0"/>
          <w:sz w:val="32"/>
          <w:szCs w:val="32"/>
          <w:lang w:bidi="ar"/>
        </w:rPr>
        <w:t>预期的社会经济效益</w:t>
      </w:r>
    </w:p>
    <w:p w14:paraId="2AB72DB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该</w:t>
      </w:r>
      <w:r>
        <w:rPr>
          <w:rFonts w:hint="eastAsia" w:ascii="仿宋_GB2312" w:hAnsi="仿宋_GB2312" w:eastAsia="仿宋_GB2312" w:cs="仿宋_GB2312"/>
          <w:sz w:val="32"/>
          <w:szCs w:val="32"/>
          <w:highlight w:val="none"/>
        </w:rPr>
        <w:t>标准</w:t>
      </w:r>
      <w:r>
        <w:rPr>
          <w:rFonts w:hint="eastAsia" w:ascii="仿宋_GB2312" w:hAnsi="仿宋_GB2312" w:eastAsia="仿宋_GB2312" w:cs="仿宋_GB2312"/>
          <w:sz w:val="32"/>
          <w:szCs w:val="32"/>
          <w:highlight w:val="none"/>
          <w:lang w:val="en-US" w:eastAsia="zh-CN"/>
        </w:rPr>
        <w:t>的发布实施将形成</w:t>
      </w:r>
      <w:r>
        <w:rPr>
          <w:rFonts w:hint="eastAsia" w:ascii="仿宋_GB2312" w:hAnsi="仿宋_GB2312" w:eastAsia="仿宋_GB2312" w:cs="仿宋_GB2312"/>
          <w:sz w:val="32"/>
          <w:szCs w:val="32"/>
          <w:highlight w:val="none"/>
        </w:rPr>
        <w:t>全省统一规范的</w:t>
      </w:r>
      <w:r>
        <w:rPr>
          <w:rFonts w:hint="eastAsia" w:ascii="仿宋_GB2312" w:hAnsi="仿宋_GB2312" w:eastAsia="仿宋_GB2312" w:cs="仿宋_GB2312"/>
          <w:sz w:val="32"/>
          <w:szCs w:val="32"/>
          <w:highlight w:val="none"/>
          <w:lang w:val="en-US" w:eastAsia="zh-CN"/>
        </w:rPr>
        <w:t>工业（产业）</w:t>
      </w:r>
      <w:r>
        <w:rPr>
          <w:rFonts w:hint="eastAsia" w:ascii="仿宋_GB2312" w:hAnsi="仿宋_GB2312" w:eastAsia="仿宋_GB2312" w:cs="仿宋_GB2312"/>
          <w:sz w:val="32"/>
          <w:szCs w:val="32"/>
          <w:highlight w:val="none"/>
        </w:rPr>
        <w:t>园区企业服务</w:t>
      </w:r>
      <w:r>
        <w:rPr>
          <w:rFonts w:hint="eastAsia" w:ascii="仿宋_GB2312" w:hAnsi="仿宋_GB2312" w:eastAsia="仿宋_GB2312" w:cs="仿宋_GB2312"/>
          <w:sz w:val="32"/>
          <w:szCs w:val="32"/>
          <w:highlight w:val="none"/>
          <w:lang w:val="en-US" w:eastAsia="zh-CN"/>
        </w:rPr>
        <w:t>体系</w:t>
      </w:r>
      <w:r>
        <w:rPr>
          <w:rFonts w:hint="eastAsia" w:ascii="仿宋_GB2312" w:hAnsi="仿宋_GB2312" w:eastAsia="仿宋_GB2312" w:cs="仿宋_GB2312"/>
          <w:sz w:val="32"/>
          <w:szCs w:val="32"/>
          <w:highlight w:val="none"/>
        </w:rPr>
        <w:t>，补齐各地园区服务制度短板，理顺服务职责与流程，推动园区治理向制度化、标准化转型。通过固化成熟服务经验，缩小区域园区服务差距，营造公平普惠、稳定透明的营商</w:t>
      </w:r>
      <w:r>
        <w:rPr>
          <w:rFonts w:hint="eastAsia" w:ascii="仿宋_GB2312" w:hAnsi="仿宋_GB2312" w:eastAsia="仿宋_GB2312" w:cs="仿宋_GB2312"/>
          <w:sz w:val="32"/>
          <w:szCs w:val="32"/>
          <w:highlight w:val="none"/>
          <w:lang w:val="en-US" w:eastAsia="zh-CN"/>
        </w:rPr>
        <w:t>环境</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标准实施可</w:t>
      </w:r>
      <w:r>
        <w:rPr>
          <w:rFonts w:hint="eastAsia" w:ascii="仿宋_GB2312" w:hAnsi="仿宋_GB2312" w:eastAsia="仿宋_GB2312" w:cs="仿宋_GB2312"/>
          <w:sz w:val="32"/>
          <w:szCs w:val="32"/>
          <w:highlight w:val="none"/>
        </w:rPr>
        <w:t>强化企业全生命周期服务保障，激发市场主体活力，助力构建亲清政商关系，为全省优化营商环境、推进基层治理现代化提供坚实支撑</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赋能园区提质升级，具有良好示范价值与辐射带动效应</w:t>
      </w:r>
      <w:r>
        <w:rPr>
          <w:rFonts w:hint="eastAsia" w:ascii="仿宋_GB2312" w:hAnsi="仿宋_GB2312" w:eastAsia="仿宋_GB2312" w:cs="仿宋_GB2312"/>
          <w:sz w:val="32"/>
          <w:szCs w:val="32"/>
          <w:highlight w:val="none"/>
        </w:rPr>
        <w:t>。</w:t>
      </w:r>
    </w:p>
    <w:p w14:paraId="389980FA">
      <w:pPr>
        <w:keepNext w:val="0"/>
        <w:keepLines w:val="0"/>
        <w:pageBreakBefore w:val="0"/>
        <w:widowControl/>
        <w:numPr>
          <w:ilvl w:val="0"/>
          <w:numId w:val="6"/>
        </w:numPr>
        <w:kinsoku/>
        <w:wordWrap/>
        <w:overflowPunct/>
        <w:topLinePunct w:val="0"/>
        <w:autoSpaceDE/>
        <w:autoSpaceDN/>
        <w:bidi w:val="0"/>
        <w:adjustRightInd/>
        <w:snapToGrid/>
        <w:spacing w:line="560" w:lineRule="exact"/>
        <w:ind w:firstLine="643" w:firstLineChars="200"/>
        <w:jc w:val="left"/>
        <w:textAlignment w:val="auto"/>
        <w:rPr>
          <w:rFonts w:ascii="楷体_GB2312" w:hAnsi="楷体_GB2312" w:eastAsia="楷体_GB2312" w:cs="楷体_GB2312"/>
          <w:b/>
          <w:bCs/>
          <w:kern w:val="0"/>
          <w:sz w:val="32"/>
          <w:szCs w:val="32"/>
          <w:lang w:bidi="ar"/>
        </w:rPr>
      </w:pPr>
      <w:r>
        <w:rPr>
          <w:rFonts w:hint="eastAsia" w:ascii="楷体_GB2312" w:hAnsi="楷体_GB2312" w:eastAsia="楷体_GB2312" w:cs="楷体_GB2312"/>
          <w:b/>
          <w:bCs/>
          <w:kern w:val="0"/>
          <w:sz w:val="32"/>
          <w:szCs w:val="32"/>
          <w:lang w:bidi="ar"/>
        </w:rPr>
        <w:t>协作单位</w:t>
      </w:r>
    </w:p>
    <w:p w14:paraId="3D8BC6E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福建省标准化研究院，是省级标准化专业技术机构，参与全国物品编码标准化技术委员会等19个全国标准化技术委员会，组建并承担福建省服务业标准化技术委员会等10个福建省标准化专业技术委员会，主导和参与多项国家、行业、地方标准，有丰富的标准制修订经验。在本标准编制中负责技术指导。</w:t>
      </w:r>
    </w:p>
    <w:p w14:paraId="139F07C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福建省标院信息技术有限公司</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rPr>
        <w:t>福建省标准化研究院下属国有全资公司，主导和参与多项国家、行业、地方标准</w:t>
      </w:r>
      <w:r>
        <w:rPr>
          <w:rFonts w:hint="eastAsia" w:ascii="仿宋_GB2312" w:hAnsi="仿宋_GB2312" w:eastAsia="仿宋_GB2312" w:cs="仿宋_GB2312"/>
          <w:sz w:val="32"/>
          <w:szCs w:val="32"/>
          <w:lang w:val="en-US" w:eastAsia="zh-CN"/>
        </w:rPr>
        <w:t>研制</w:t>
      </w:r>
      <w:r>
        <w:rPr>
          <w:rFonts w:hint="eastAsia" w:ascii="仿宋_GB2312" w:hAnsi="仿宋_GB2312" w:eastAsia="仿宋_GB2312" w:cs="仿宋_GB2312"/>
          <w:sz w:val="32"/>
          <w:szCs w:val="32"/>
        </w:rPr>
        <w:t>，标准制修订经验</w:t>
      </w:r>
      <w:r>
        <w:rPr>
          <w:rFonts w:hint="eastAsia" w:ascii="仿宋_GB2312" w:hAnsi="仿宋_GB2312" w:eastAsia="仿宋_GB2312" w:cs="仿宋_GB2312"/>
          <w:sz w:val="32"/>
          <w:szCs w:val="32"/>
          <w:lang w:val="en-US" w:eastAsia="zh-CN"/>
        </w:rPr>
        <w:t>丰富</w:t>
      </w:r>
      <w:r>
        <w:rPr>
          <w:rFonts w:hint="eastAsia" w:ascii="仿宋_GB2312" w:hAnsi="仿宋_GB2312" w:eastAsia="仿宋_GB2312" w:cs="仿宋_GB2312"/>
          <w:sz w:val="32"/>
          <w:szCs w:val="32"/>
        </w:rPr>
        <w:t>。在本标准编制中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主要承担</w:t>
      </w:r>
      <w:r>
        <w:rPr>
          <w:rFonts w:hint="eastAsia" w:ascii="仿宋_GB2312" w:hAnsi="仿宋_GB2312" w:eastAsia="仿宋_GB2312" w:cs="仿宋_GB2312"/>
          <w:sz w:val="32"/>
          <w:szCs w:val="32"/>
        </w:rPr>
        <w:t>技术指导、标准文本的格式修改、标准编制说明撰写、</w:t>
      </w:r>
      <w:r>
        <w:rPr>
          <w:rFonts w:hint="eastAsia" w:ascii="仿宋_GB2312" w:hAnsi="仿宋_GB2312" w:eastAsia="仿宋_GB2312" w:cs="仿宋_GB2312"/>
          <w:sz w:val="32"/>
          <w:szCs w:val="32"/>
          <w:lang w:val="en-US" w:eastAsia="zh-CN"/>
        </w:rPr>
        <w:t>申报及</w:t>
      </w:r>
      <w:r>
        <w:rPr>
          <w:rFonts w:hint="eastAsia" w:ascii="仿宋_GB2312" w:hAnsi="仿宋_GB2312" w:eastAsia="仿宋_GB2312" w:cs="仿宋_GB2312"/>
          <w:sz w:val="32"/>
          <w:szCs w:val="32"/>
        </w:rPr>
        <w:t>相关材料整理</w:t>
      </w:r>
      <w:r>
        <w:rPr>
          <w:rFonts w:hint="eastAsia" w:ascii="仿宋_GB2312" w:hAnsi="仿宋_GB2312" w:eastAsia="仿宋_GB2312" w:cs="仿宋_GB2312"/>
          <w:sz w:val="32"/>
          <w:szCs w:val="32"/>
          <w:lang w:val="en-US" w:eastAsia="zh-CN"/>
        </w:rPr>
        <w:t>等工作，保障标准编制规范、流程合规、文本质量达标</w:t>
      </w:r>
      <w:r>
        <w:rPr>
          <w:rFonts w:hint="eastAsia" w:ascii="仿宋_GB2312" w:hAnsi="仿宋_GB2312" w:eastAsia="仿宋_GB2312" w:cs="仿宋_GB2312"/>
          <w:sz w:val="32"/>
          <w:szCs w:val="32"/>
        </w:rPr>
        <w:t>。</w:t>
      </w:r>
    </w:p>
    <w:p w14:paraId="4A2AF6B2">
      <w:pPr>
        <w:keepNext w:val="0"/>
        <w:keepLines w:val="0"/>
        <w:pageBreakBefore w:val="0"/>
        <w:widowControl/>
        <w:numPr>
          <w:ilvl w:val="0"/>
          <w:numId w:val="6"/>
        </w:numPr>
        <w:kinsoku/>
        <w:wordWrap/>
        <w:overflowPunct/>
        <w:topLinePunct w:val="0"/>
        <w:autoSpaceDE/>
        <w:autoSpaceDN/>
        <w:bidi w:val="0"/>
        <w:adjustRightInd/>
        <w:snapToGrid/>
        <w:spacing w:line="560" w:lineRule="exact"/>
        <w:ind w:firstLine="643" w:firstLineChars="200"/>
        <w:jc w:val="left"/>
        <w:textAlignment w:val="auto"/>
        <w:rPr>
          <w:rFonts w:ascii="楷体_GB2312" w:hAnsi="楷体_GB2312" w:eastAsia="楷体_GB2312" w:cs="楷体_GB2312"/>
          <w:b/>
          <w:bCs/>
          <w:kern w:val="0"/>
          <w:sz w:val="32"/>
          <w:szCs w:val="32"/>
          <w:lang w:bidi="ar"/>
        </w:rPr>
      </w:pPr>
      <w:r>
        <w:rPr>
          <w:rFonts w:hint="eastAsia" w:ascii="楷体_GB2312" w:hAnsi="楷体_GB2312" w:eastAsia="楷体_GB2312" w:cs="楷体_GB2312"/>
          <w:b/>
          <w:bCs/>
          <w:kern w:val="0"/>
          <w:sz w:val="32"/>
          <w:szCs w:val="32"/>
          <w:lang w:bidi="ar"/>
        </w:rPr>
        <w:t>主要工作过程</w:t>
      </w:r>
    </w:p>
    <w:p w14:paraId="5A638F66">
      <w:pPr>
        <w:pStyle w:val="6"/>
        <w:keepNext w:val="0"/>
        <w:keepLines w:val="0"/>
        <w:pageBreakBefore w:val="0"/>
        <w:numPr>
          <w:ilvl w:val="0"/>
          <w:numId w:val="7"/>
        </w:numPr>
        <w:kinsoku/>
        <w:wordWrap/>
        <w:overflowPunct/>
        <w:topLinePunct w:val="0"/>
        <w:autoSpaceDE/>
        <w:autoSpaceDN/>
        <w:bidi w:val="0"/>
        <w:adjustRightInd/>
        <w:snapToGrid/>
        <w:spacing w:line="560" w:lineRule="exact"/>
        <w:ind w:firstLine="643" w:firstLineChars="200"/>
        <w:textAlignment w:val="auto"/>
        <w:outlineLvl w:val="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申请立项</w:t>
      </w:r>
    </w:p>
    <w:p w14:paraId="7911F9E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月，龙岩高新区（经开区）企业服务中心向福建省市场监督管理局提出《工业（产业）园区企业服务通则》福建省地方标准制定申请，于20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月获批立项。</w:t>
      </w:r>
    </w:p>
    <w:p w14:paraId="21F2A899">
      <w:pPr>
        <w:pStyle w:val="6"/>
        <w:keepNext w:val="0"/>
        <w:keepLines w:val="0"/>
        <w:pageBreakBefore w:val="0"/>
        <w:numPr>
          <w:ilvl w:val="0"/>
          <w:numId w:val="7"/>
        </w:numPr>
        <w:kinsoku/>
        <w:wordWrap/>
        <w:overflowPunct/>
        <w:topLinePunct w:val="0"/>
        <w:autoSpaceDE/>
        <w:autoSpaceDN/>
        <w:bidi w:val="0"/>
        <w:adjustRightInd/>
        <w:snapToGrid/>
        <w:spacing w:line="560" w:lineRule="exact"/>
        <w:ind w:firstLine="643" w:firstLineChars="200"/>
        <w:textAlignment w:val="auto"/>
        <w:outlineLvl w:val="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编写草案</w:t>
      </w:r>
    </w:p>
    <w:p w14:paraId="7627ED5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12月</w:t>
      </w:r>
      <w:r>
        <w:rPr>
          <w:rFonts w:hint="eastAsia" w:ascii="仿宋_GB2312" w:hAnsi="仿宋_GB2312" w:eastAsia="仿宋_GB2312" w:cs="仿宋_GB2312"/>
          <w:sz w:val="32"/>
          <w:szCs w:val="32"/>
        </w:rPr>
        <w:t>，标准立项后，为保证研制工作的顺利开展、提高标准的质量和可用性，</w:t>
      </w:r>
      <w:r>
        <w:rPr>
          <w:rFonts w:hint="eastAsia" w:ascii="仿宋_GB2312" w:hAnsi="仿宋_GB2312" w:eastAsia="仿宋_GB2312" w:cs="仿宋_GB2312"/>
          <w:kern w:val="2"/>
          <w:sz w:val="32"/>
          <w:szCs w:val="32"/>
          <w:lang w:val="en-US" w:eastAsia="zh-CN" w:bidi="ar-SA"/>
        </w:rPr>
        <w:t>龙岩高新区（经开区）企业服务中心</w:t>
      </w:r>
      <w:r>
        <w:rPr>
          <w:rFonts w:hint="eastAsia" w:ascii="仿宋_GB2312" w:hAnsi="仿宋_GB2312" w:eastAsia="仿宋_GB2312" w:cs="仿宋_GB2312"/>
          <w:sz w:val="32"/>
          <w:szCs w:val="32"/>
        </w:rPr>
        <w:t>联合福建省标院信息技术有限公司组建了标准起草小组，制</w:t>
      </w:r>
      <w:r>
        <w:rPr>
          <w:rFonts w:hint="eastAsia" w:ascii="仿宋_GB2312" w:hAnsi="仿宋_GB2312" w:eastAsia="仿宋_GB2312" w:cs="仿宋_GB2312"/>
          <w:sz w:val="32"/>
          <w:szCs w:val="32"/>
          <w:lang w:val="en-US" w:eastAsia="zh-CN"/>
        </w:rPr>
        <w:t>定</w:t>
      </w:r>
      <w:r>
        <w:rPr>
          <w:rFonts w:hint="eastAsia" w:ascii="仿宋_GB2312" w:hAnsi="仿宋_GB2312" w:eastAsia="仿宋_GB2312" w:cs="仿宋_GB2312"/>
          <w:sz w:val="32"/>
          <w:szCs w:val="32"/>
        </w:rPr>
        <w:t>了工作方案，明确目标要求、工作思路、人员分工和工作进度等。</w:t>
      </w:r>
    </w:p>
    <w:p w14:paraId="401C450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标准起草小组赴龙岩市高新区企业服务中心、永定区企业服务中心、福州市软件园政务服务中心、漳州市长泰区行政服务中心、厦门市湖里区企业服务中心等多家相关单位开展实地调研，全面了解各单位在企业服务统筹协调、政策赋能、诉求闭环处置等方面的实践</w:t>
      </w:r>
      <w:r>
        <w:rPr>
          <w:rFonts w:hint="eastAsia" w:ascii="仿宋_GB2312" w:hAnsi="仿宋_GB2312" w:eastAsia="仿宋_GB2312" w:cs="仿宋_GB2312"/>
          <w:sz w:val="32"/>
          <w:szCs w:val="32"/>
          <w:lang w:val="en-US" w:eastAsia="zh-CN"/>
        </w:rPr>
        <w:t>经验</w:t>
      </w:r>
      <w:r>
        <w:rPr>
          <w:rFonts w:hint="eastAsia" w:ascii="仿宋_GB2312" w:hAnsi="仿宋_GB2312" w:eastAsia="仿宋_GB2312" w:cs="仿宋_GB2312"/>
          <w:sz w:val="32"/>
          <w:szCs w:val="32"/>
        </w:rPr>
        <w:t>、特色做法及现存问题，广泛收集服务人员与企业代表的意见建议。结合调研资料，起草小组充分吸纳各单位企业服务先进经验，并对标准草案稿进行讨论和修改。</w:t>
      </w:r>
    </w:p>
    <w:p w14:paraId="52FE0FA5">
      <w:pPr>
        <w:keepNext w:val="0"/>
        <w:keepLines w:val="0"/>
        <w:pageBreakBefore w:val="0"/>
        <w:numPr>
          <w:ilvl w:val="0"/>
          <w:numId w:val="7"/>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专家研讨</w:t>
      </w:r>
    </w:p>
    <w:p w14:paraId="766F98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5月14日，标准起草小组组织召开专家研讨会，会议邀请了来自福州市行政服务中心管理委员会、厦门市湖里区企业服务中心、福州市马尾区工业和信息化局、福州高新区鼓楼经济发展事务中心等单位的专家。会上，标准起草小组详细介绍了标准编制依据、标准框架、主要工作过程。与会专家围绕工业（产业）园区企业服务内容、主要服务形式等核心内容展开深入探讨，从实务层面为标准优化完善指明方向，提出专业修改意见。会后，标准起草小组按照研讨会专家意见对标准征求意见稿进行了修改和完善。</w:t>
      </w:r>
    </w:p>
    <w:p w14:paraId="180414CC">
      <w:pPr>
        <w:keepNext w:val="0"/>
        <w:keepLines w:val="0"/>
        <w:pageBreakBefore w:val="0"/>
        <w:widowControl/>
        <w:numPr>
          <w:ilvl w:val="0"/>
          <w:numId w:val="6"/>
        </w:numPr>
        <w:kinsoku/>
        <w:wordWrap/>
        <w:overflowPunct/>
        <w:topLinePunct w:val="0"/>
        <w:autoSpaceDE/>
        <w:autoSpaceDN/>
        <w:bidi w:val="0"/>
        <w:adjustRightInd/>
        <w:snapToGrid/>
        <w:spacing w:line="560" w:lineRule="exact"/>
        <w:ind w:firstLine="643" w:firstLineChars="200"/>
        <w:jc w:val="left"/>
        <w:textAlignment w:val="auto"/>
        <w:rPr>
          <w:rFonts w:ascii="楷体_GB2312" w:hAnsi="楷体_GB2312" w:eastAsia="楷体_GB2312" w:cs="楷体_GB2312"/>
          <w:b/>
          <w:bCs/>
          <w:kern w:val="0"/>
          <w:sz w:val="32"/>
          <w:szCs w:val="32"/>
          <w:lang w:bidi="ar"/>
        </w:rPr>
      </w:pPr>
      <w:r>
        <w:rPr>
          <w:rFonts w:hint="eastAsia" w:ascii="楷体_GB2312" w:hAnsi="楷体_GB2312" w:eastAsia="楷体_GB2312" w:cs="楷体_GB2312"/>
          <w:b/>
          <w:bCs/>
          <w:kern w:val="0"/>
          <w:sz w:val="32"/>
          <w:szCs w:val="32"/>
          <w:lang w:bidi="ar"/>
        </w:rPr>
        <w:t>主要起草人及工作内容</w:t>
      </w:r>
    </w:p>
    <w:p w14:paraId="10EF4CD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主要起草人负责</w:t>
      </w:r>
      <w:r>
        <w:rPr>
          <w:rFonts w:hint="eastAsia" w:ascii="仿宋_GB2312" w:hAnsi="仿宋_GB2312" w:eastAsia="仿宋_GB2312" w:cs="仿宋_GB2312"/>
          <w:sz w:val="32"/>
          <w:szCs w:val="32"/>
          <w:lang w:val="en-US" w:eastAsia="zh-CN"/>
        </w:rPr>
        <w:t>标准研制全过程组织实施，包括</w:t>
      </w:r>
      <w:r>
        <w:rPr>
          <w:rFonts w:hint="eastAsia" w:ascii="仿宋_GB2312" w:hAnsi="仿宋_GB2312" w:eastAsia="仿宋_GB2312" w:cs="仿宋_GB2312"/>
          <w:sz w:val="32"/>
          <w:szCs w:val="32"/>
        </w:rPr>
        <w:t>资料收集分析、实地调研、专家研讨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标准文本起草、征求意见组织、送审材料编制与协调推进</w:t>
      </w:r>
      <w:r>
        <w:rPr>
          <w:rFonts w:hint="eastAsia" w:ascii="仿宋_GB2312" w:hAnsi="仿宋_GB2312" w:eastAsia="仿宋_GB2312" w:cs="仿宋_GB2312"/>
          <w:sz w:val="32"/>
          <w:szCs w:val="32"/>
        </w:rPr>
        <w:t>等工作，</w:t>
      </w:r>
      <w:r>
        <w:rPr>
          <w:rFonts w:hint="eastAsia" w:ascii="仿宋_GB2312" w:hAnsi="仿宋_GB2312" w:eastAsia="仿宋_GB2312" w:cs="仿宋_GB2312"/>
          <w:sz w:val="32"/>
          <w:szCs w:val="32"/>
          <w:lang w:val="en-US" w:eastAsia="zh-CN"/>
        </w:rPr>
        <w:t>保障标准编制规范推进、内容科学可行。</w:t>
      </w:r>
    </w:p>
    <w:p w14:paraId="159BF9A4">
      <w:pPr>
        <w:keepNext w:val="0"/>
        <w:keepLines w:val="0"/>
        <w:pageBreakBefore w:val="0"/>
        <w:numPr>
          <w:ilvl w:val="0"/>
          <w:numId w:val="5"/>
        </w:numPr>
        <w:kinsoku/>
        <w:wordWrap/>
        <w:overflowPunct/>
        <w:topLinePunct w:val="0"/>
        <w:autoSpaceDE/>
        <w:autoSpaceDN/>
        <w:bidi w:val="0"/>
        <w:adjustRightInd/>
        <w:snapToGrid/>
        <w:spacing w:line="560" w:lineRule="exact"/>
        <w:ind w:firstLine="643" w:firstLineChars="200"/>
        <w:textAlignment w:val="auto"/>
        <w:rPr>
          <w:rFonts w:ascii="黑体" w:hAnsi="黑体" w:eastAsia="黑体" w:cs="黑体"/>
          <w:b/>
          <w:sz w:val="32"/>
          <w:szCs w:val="32"/>
        </w:rPr>
      </w:pPr>
      <w:r>
        <w:rPr>
          <w:rFonts w:hint="eastAsia" w:ascii="黑体" w:hAnsi="黑体" w:eastAsia="黑体" w:cs="黑体"/>
          <w:b/>
          <w:sz w:val="32"/>
          <w:szCs w:val="32"/>
        </w:rPr>
        <w:t>标准编制原则和确定主要内容的依据</w:t>
      </w:r>
    </w:p>
    <w:p w14:paraId="2C1D215B">
      <w:pPr>
        <w:keepNext w:val="0"/>
        <w:keepLines w:val="0"/>
        <w:pageBreakBefore w:val="0"/>
        <w:widowControl/>
        <w:numPr>
          <w:ilvl w:val="0"/>
          <w:numId w:val="8"/>
        </w:numPr>
        <w:kinsoku/>
        <w:wordWrap/>
        <w:overflowPunct/>
        <w:topLinePunct w:val="0"/>
        <w:autoSpaceDE/>
        <w:autoSpaceDN/>
        <w:bidi w:val="0"/>
        <w:adjustRightInd/>
        <w:snapToGrid/>
        <w:spacing w:line="560" w:lineRule="exact"/>
        <w:ind w:firstLine="643" w:firstLineChars="200"/>
        <w:jc w:val="left"/>
        <w:textAlignment w:val="auto"/>
        <w:rPr>
          <w:rFonts w:ascii="楷体_GB2312" w:hAnsi="楷体_GB2312" w:eastAsia="楷体_GB2312" w:cs="楷体_GB2312"/>
          <w:b/>
          <w:bCs/>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bCs/>
          <w:color w:val="000000" w:themeColor="text1"/>
          <w:kern w:val="0"/>
          <w:sz w:val="32"/>
          <w:szCs w:val="32"/>
          <w:lang w:bidi="ar"/>
          <w14:textFill>
            <w14:solidFill>
              <w14:schemeClr w14:val="tx1"/>
            </w14:solidFill>
          </w14:textFill>
        </w:rPr>
        <w:t>编制原则</w:t>
      </w:r>
    </w:p>
    <w:p w14:paraId="0C6EA1E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本标准遵循“科学性、规范性、先进性、适用性”等原则，严格按照《福建省推进政府职能转变和数字政府建设领导小组办公室福建省商务厅 福建省科技厅关于优化提升开发区政务服务水平推进“企业办事不出园区”的通知》（闽职转办〔2025〕9号）等文件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要求</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结合福建</w:t>
      </w:r>
      <w:r>
        <w:rPr>
          <w:rFonts w:hint="eastAsia" w:ascii="仿宋_GB2312" w:hAnsi="仿宋_GB2312" w:eastAsia="仿宋_GB2312" w:cs="仿宋_GB2312"/>
          <w:color w:val="000000" w:themeColor="text1"/>
          <w:sz w:val="32"/>
          <w:szCs w:val="32"/>
          <w14:textFill>
            <w14:solidFill>
              <w14:schemeClr w14:val="tx1"/>
            </w14:solidFill>
          </w14:textFill>
        </w:rPr>
        <w:t>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工业（产业）园区企业服务</w:t>
      </w:r>
      <w:r>
        <w:rPr>
          <w:rFonts w:hint="eastAsia" w:ascii="仿宋_GB2312" w:hAnsi="仿宋_GB2312" w:eastAsia="仿宋_GB2312" w:cs="仿宋_GB2312"/>
          <w:color w:val="000000" w:themeColor="text1"/>
          <w:sz w:val="32"/>
          <w:szCs w:val="32"/>
          <w14:textFill>
            <w14:solidFill>
              <w14:schemeClr w14:val="tx1"/>
            </w14:solidFill>
          </w14:textFill>
        </w:rPr>
        <w:t>的实际情况和相关经验进行编制。标准格式按GB/T 1.1—2020《标准化工作导则  第1部分：标准化文件的结构和起草规则》的要求执行，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整体</w:t>
      </w:r>
      <w:r>
        <w:rPr>
          <w:rFonts w:hint="eastAsia" w:ascii="仿宋_GB2312" w:hAnsi="仿宋_GB2312" w:eastAsia="仿宋_GB2312" w:cs="仿宋_GB2312"/>
          <w:color w:val="000000" w:themeColor="text1"/>
          <w:sz w:val="32"/>
          <w:szCs w:val="32"/>
          <w14:textFill>
            <w14:solidFill>
              <w14:schemeClr w14:val="tx1"/>
            </w14:solidFill>
          </w14:textFill>
        </w:rPr>
        <w:t>框架清晰，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条文</w:t>
      </w:r>
      <w:r>
        <w:rPr>
          <w:rFonts w:hint="eastAsia" w:ascii="仿宋_GB2312" w:hAnsi="仿宋_GB2312" w:eastAsia="仿宋_GB2312" w:cs="仿宋_GB2312"/>
          <w:color w:val="000000" w:themeColor="text1"/>
          <w:sz w:val="32"/>
          <w:szCs w:val="32"/>
          <w14:textFill>
            <w14:solidFill>
              <w14:schemeClr w14:val="tx1"/>
            </w14:solidFill>
          </w14:textFill>
        </w:rPr>
        <w:t>内容明确，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文本</w:t>
      </w:r>
      <w:r>
        <w:rPr>
          <w:rFonts w:hint="eastAsia" w:ascii="仿宋_GB2312" w:hAnsi="仿宋_GB2312" w:eastAsia="仿宋_GB2312" w:cs="仿宋_GB2312"/>
          <w:color w:val="000000" w:themeColor="text1"/>
          <w:sz w:val="32"/>
          <w:szCs w:val="32"/>
          <w14:textFill>
            <w14:solidFill>
              <w14:schemeClr w14:val="tx1"/>
            </w14:solidFill>
          </w14:textFill>
        </w:rPr>
        <w:t>格式规范。</w:t>
      </w:r>
    </w:p>
    <w:p w14:paraId="5AED793E">
      <w:pPr>
        <w:keepNext w:val="0"/>
        <w:keepLines w:val="0"/>
        <w:pageBreakBefore w:val="0"/>
        <w:widowControl/>
        <w:numPr>
          <w:ilvl w:val="0"/>
          <w:numId w:val="8"/>
        </w:numPr>
        <w:kinsoku/>
        <w:wordWrap/>
        <w:overflowPunct/>
        <w:topLinePunct w:val="0"/>
        <w:autoSpaceDE/>
        <w:autoSpaceDN/>
        <w:bidi w:val="0"/>
        <w:adjustRightInd/>
        <w:snapToGrid/>
        <w:spacing w:line="560" w:lineRule="exact"/>
        <w:ind w:firstLine="643" w:firstLineChars="200"/>
        <w:jc w:val="left"/>
        <w:textAlignment w:val="auto"/>
        <w:rPr>
          <w:rFonts w:ascii="楷体_GB2312" w:hAnsi="楷体_GB2312" w:eastAsia="楷体_GB2312" w:cs="楷体_GB2312"/>
          <w:b/>
          <w:bCs/>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bCs/>
          <w:color w:val="000000" w:themeColor="text1"/>
          <w:kern w:val="0"/>
          <w:sz w:val="32"/>
          <w:szCs w:val="32"/>
          <w:lang w:bidi="ar"/>
          <w14:textFill>
            <w14:solidFill>
              <w14:schemeClr w14:val="tx1"/>
            </w14:solidFill>
          </w14:textFill>
        </w:rPr>
        <w:t>引用文件及主要参考资料</w:t>
      </w:r>
    </w:p>
    <w:p w14:paraId="155CFF3F">
      <w:pPr>
        <w:keepNext w:val="0"/>
        <w:keepLines w:val="0"/>
        <w:pageBreakBefore w:val="0"/>
        <w:numPr>
          <w:ilvl w:val="0"/>
          <w:numId w:val="9"/>
        </w:numPr>
        <w:kinsoku/>
        <w:wordWrap/>
        <w:overflowPunct/>
        <w:topLinePunct w:val="0"/>
        <w:autoSpaceDE/>
        <w:autoSpaceDN/>
        <w:bidi w:val="0"/>
        <w:adjustRightInd/>
        <w:snapToGrid/>
        <w:spacing w:line="560" w:lineRule="exact"/>
        <w:ind w:left="0"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《中华人民共和国标准化法》</w:t>
      </w:r>
    </w:p>
    <w:p w14:paraId="5BBBA977">
      <w:pPr>
        <w:keepNext w:val="0"/>
        <w:keepLines w:val="0"/>
        <w:pageBreakBefore w:val="0"/>
        <w:numPr>
          <w:ilvl w:val="0"/>
          <w:numId w:val="9"/>
        </w:numPr>
        <w:kinsoku/>
        <w:wordWrap/>
        <w:overflowPunct/>
        <w:topLinePunct w:val="0"/>
        <w:autoSpaceDE/>
        <w:autoSpaceDN/>
        <w:bidi w:val="0"/>
        <w:adjustRightInd/>
        <w:snapToGrid/>
        <w:spacing w:line="560" w:lineRule="exact"/>
        <w:ind w:left="0"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《地方标准管理办法》</w:t>
      </w:r>
    </w:p>
    <w:p w14:paraId="2AE007EE">
      <w:pPr>
        <w:keepNext w:val="0"/>
        <w:keepLines w:val="0"/>
        <w:pageBreakBefore w:val="0"/>
        <w:numPr>
          <w:ilvl w:val="0"/>
          <w:numId w:val="9"/>
        </w:numPr>
        <w:kinsoku/>
        <w:wordWrap/>
        <w:overflowPunct/>
        <w:topLinePunct w:val="0"/>
        <w:autoSpaceDE/>
        <w:autoSpaceDN/>
        <w:bidi w:val="0"/>
        <w:adjustRightInd/>
        <w:snapToGrid/>
        <w:spacing w:line="560" w:lineRule="exact"/>
        <w:ind w:left="0"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《福建省地方标准管理办法（试行）》</w:t>
      </w:r>
    </w:p>
    <w:p w14:paraId="1BCDFCF0">
      <w:pPr>
        <w:keepNext w:val="0"/>
        <w:keepLines w:val="0"/>
        <w:pageBreakBefore w:val="0"/>
        <w:widowControl/>
        <w:numPr>
          <w:ilvl w:val="0"/>
          <w:numId w:val="8"/>
        </w:numPr>
        <w:kinsoku/>
        <w:wordWrap/>
        <w:overflowPunct/>
        <w:topLinePunct w:val="0"/>
        <w:autoSpaceDE/>
        <w:autoSpaceDN/>
        <w:bidi w:val="0"/>
        <w:adjustRightInd/>
        <w:snapToGrid/>
        <w:spacing w:line="560" w:lineRule="exact"/>
        <w:ind w:firstLine="643" w:firstLineChars="200"/>
        <w:jc w:val="left"/>
        <w:textAlignment w:val="auto"/>
        <w:rPr>
          <w:rFonts w:ascii="楷体_GB2312" w:hAnsi="楷体_GB2312" w:eastAsia="楷体_GB2312" w:cs="楷体_GB2312"/>
          <w:b/>
          <w:bCs/>
          <w:kern w:val="0"/>
          <w:sz w:val="32"/>
          <w:szCs w:val="32"/>
          <w:lang w:bidi="ar"/>
        </w:rPr>
      </w:pPr>
      <w:r>
        <w:rPr>
          <w:rFonts w:hint="eastAsia" w:ascii="楷体_GB2312" w:hAnsi="楷体_GB2312" w:eastAsia="楷体_GB2312" w:cs="楷体_GB2312"/>
          <w:b/>
          <w:bCs/>
          <w:kern w:val="0"/>
          <w:sz w:val="32"/>
          <w:szCs w:val="32"/>
          <w:lang w:bidi="ar"/>
        </w:rPr>
        <w:t>确定标准主要内容的依据</w:t>
      </w:r>
    </w:p>
    <w:p w14:paraId="5DCD03F1">
      <w:pPr>
        <w:pStyle w:val="6"/>
        <w:keepNext w:val="0"/>
        <w:keepLines w:val="0"/>
        <w:pageBreakBefore w:val="0"/>
        <w:numPr>
          <w:ilvl w:val="0"/>
          <w:numId w:val="10"/>
        </w:numPr>
        <w:kinsoku/>
        <w:wordWrap/>
        <w:overflowPunct/>
        <w:topLinePunct w:val="0"/>
        <w:autoSpaceDE/>
        <w:autoSpaceDN/>
        <w:bidi w:val="0"/>
        <w:adjustRightInd/>
        <w:snapToGrid/>
        <w:spacing w:line="560" w:lineRule="exact"/>
        <w:ind w:firstLine="643" w:firstLineChars="200"/>
        <w:textAlignment w:val="auto"/>
        <w:outlineLvl w:val="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第3章  “术语和定义” </w:t>
      </w:r>
    </w:p>
    <w:p w14:paraId="30C3C7F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为便于对标准的理解与执行，本章给出了“</w:t>
      </w:r>
      <w:r>
        <w:rPr>
          <w:rFonts w:hint="eastAsia" w:ascii="仿宋_GB2312" w:hAnsi="仿宋_GB2312" w:eastAsia="仿宋_GB2312" w:cs="仿宋_GB2312"/>
          <w:sz w:val="32"/>
          <w:szCs w:val="32"/>
          <w:lang w:val="en-US" w:eastAsia="zh-CN"/>
        </w:rPr>
        <w:t>企业服务</w:t>
      </w:r>
      <w:r>
        <w:rPr>
          <w:rFonts w:hint="eastAsia" w:ascii="仿宋_GB2312" w:hAnsi="仿宋_GB2312" w:eastAsia="仿宋_GB2312" w:cs="仿宋_GB2312"/>
          <w:sz w:val="32"/>
          <w:szCs w:val="32"/>
        </w:rPr>
        <w:t>”的术语和定义。</w:t>
      </w:r>
    </w:p>
    <w:p w14:paraId="4B7B68CD">
      <w:pPr>
        <w:pStyle w:val="6"/>
        <w:keepNext w:val="0"/>
        <w:keepLines w:val="0"/>
        <w:pageBreakBefore w:val="0"/>
        <w:numPr>
          <w:ilvl w:val="0"/>
          <w:numId w:val="10"/>
        </w:numPr>
        <w:kinsoku/>
        <w:wordWrap/>
        <w:overflowPunct/>
        <w:topLinePunct w:val="0"/>
        <w:autoSpaceDE/>
        <w:autoSpaceDN/>
        <w:bidi w:val="0"/>
        <w:adjustRightInd/>
        <w:snapToGrid/>
        <w:spacing w:line="560" w:lineRule="exact"/>
        <w:ind w:firstLine="643" w:firstLineChars="200"/>
        <w:textAlignment w:val="auto"/>
        <w:outlineLvl w:val="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第4章  “</w:t>
      </w:r>
      <w:r>
        <w:rPr>
          <w:rFonts w:hint="eastAsia" w:ascii="仿宋_GB2312" w:hAnsi="仿宋_GB2312" w:eastAsia="仿宋_GB2312" w:cs="仿宋_GB2312"/>
          <w:b/>
          <w:bCs/>
          <w:sz w:val="32"/>
          <w:szCs w:val="32"/>
          <w:lang w:val="en-US" w:eastAsia="zh-CN"/>
        </w:rPr>
        <w:t>基本原则</w:t>
      </w:r>
      <w:r>
        <w:rPr>
          <w:rFonts w:hint="eastAsia" w:ascii="仿宋_GB2312" w:hAnsi="仿宋_GB2312" w:eastAsia="仿宋_GB2312" w:cs="仿宋_GB2312"/>
          <w:b/>
          <w:bCs/>
          <w:sz w:val="32"/>
          <w:szCs w:val="32"/>
        </w:rPr>
        <w:t>”</w:t>
      </w:r>
    </w:p>
    <w:p w14:paraId="2327871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本章</w:t>
      </w:r>
      <w:r>
        <w:rPr>
          <w:rFonts w:hint="eastAsia" w:ascii="仿宋_GB2312" w:hAnsi="仿宋_GB2312" w:eastAsia="仿宋_GB2312" w:cs="仿宋_GB2312"/>
          <w:sz w:val="32"/>
          <w:szCs w:val="32"/>
          <w:lang w:val="en-US" w:eastAsia="zh-CN"/>
        </w:rPr>
        <w:t>提出工业（产业）园区企业服务的基本原则</w:t>
      </w:r>
      <w:r>
        <w:rPr>
          <w:rFonts w:hint="eastAsia" w:ascii="仿宋_GB2312" w:hAnsi="仿宋_GB2312" w:eastAsia="仿宋_GB2312" w:cs="仿宋_GB2312"/>
          <w:sz w:val="32"/>
          <w:szCs w:val="32"/>
        </w:rPr>
        <w:t>。</w:t>
      </w:r>
    </w:p>
    <w:p w14:paraId="794C6996">
      <w:pPr>
        <w:pStyle w:val="6"/>
        <w:keepNext w:val="0"/>
        <w:keepLines w:val="0"/>
        <w:pageBreakBefore w:val="0"/>
        <w:numPr>
          <w:ilvl w:val="0"/>
          <w:numId w:val="10"/>
        </w:numPr>
        <w:kinsoku/>
        <w:wordWrap/>
        <w:overflowPunct/>
        <w:topLinePunct w:val="0"/>
        <w:autoSpaceDE/>
        <w:autoSpaceDN/>
        <w:bidi w:val="0"/>
        <w:adjustRightInd/>
        <w:snapToGrid/>
        <w:spacing w:line="560" w:lineRule="exact"/>
        <w:ind w:firstLine="643" w:firstLineChars="200"/>
        <w:textAlignment w:val="auto"/>
        <w:outlineLvl w:val="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第5章  “</w:t>
      </w:r>
      <w:r>
        <w:rPr>
          <w:rFonts w:hint="eastAsia" w:ascii="仿宋_GB2312" w:hAnsi="仿宋_GB2312" w:eastAsia="仿宋_GB2312" w:cs="仿宋_GB2312"/>
          <w:b/>
          <w:bCs/>
          <w:sz w:val="32"/>
          <w:szCs w:val="32"/>
          <w:lang w:val="en-US" w:eastAsia="zh-CN"/>
        </w:rPr>
        <w:t>服务保障</w:t>
      </w:r>
      <w:r>
        <w:rPr>
          <w:rFonts w:hint="eastAsia" w:ascii="仿宋_GB2312" w:hAnsi="仿宋_GB2312" w:eastAsia="仿宋_GB2312" w:cs="仿宋_GB2312"/>
          <w:b/>
          <w:bCs/>
          <w:sz w:val="32"/>
          <w:szCs w:val="32"/>
        </w:rPr>
        <w:t>”</w:t>
      </w:r>
    </w:p>
    <w:p w14:paraId="33DBB00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本章</w:t>
      </w:r>
      <w:r>
        <w:rPr>
          <w:rFonts w:hint="eastAsia" w:ascii="仿宋_GB2312" w:hAnsi="仿宋_GB2312" w:eastAsia="仿宋_GB2312" w:cs="仿宋_GB2312"/>
          <w:sz w:val="32"/>
          <w:szCs w:val="32"/>
          <w:lang w:val="en-US" w:eastAsia="zh-CN"/>
        </w:rPr>
        <w:t>从设施设备、人员、服务制度、管理四个方面</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工业（产业）园区企业服务保障提出具体要求</w:t>
      </w:r>
      <w:r>
        <w:rPr>
          <w:rFonts w:hint="eastAsia" w:ascii="仿宋_GB2312" w:hAnsi="仿宋_GB2312" w:eastAsia="仿宋_GB2312" w:cs="仿宋_GB2312"/>
          <w:sz w:val="32"/>
          <w:szCs w:val="32"/>
        </w:rPr>
        <w:t>。</w:t>
      </w:r>
    </w:p>
    <w:p w14:paraId="25610A4D">
      <w:pPr>
        <w:pStyle w:val="6"/>
        <w:keepNext w:val="0"/>
        <w:keepLines w:val="0"/>
        <w:pageBreakBefore w:val="0"/>
        <w:numPr>
          <w:ilvl w:val="0"/>
          <w:numId w:val="10"/>
        </w:numPr>
        <w:kinsoku/>
        <w:wordWrap/>
        <w:overflowPunct/>
        <w:topLinePunct w:val="0"/>
        <w:autoSpaceDE/>
        <w:autoSpaceDN/>
        <w:bidi w:val="0"/>
        <w:adjustRightInd/>
        <w:snapToGrid/>
        <w:spacing w:line="560" w:lineRule="exact"/>
        <w:ind w:firstLine="643" w:firstLineChars="200"/>
        <w:textAlignment w:val="auto"/>
        <w:outlineLvl w:val="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第6章  “</w:t>
      </w:r>
      <w:r>
        <w:rPr>
          <w:rFonts w:hint="eastAsia" w:ascii="仿宋_GB2312" w:hAnsi="仿宋_GB2312" w:eastAsia="仿宋_GB2312" w:cs="仿宋_GB2312"/>
          <w:b/>
          <w:bCs/>
          <w:sz w:val="32"/>
          <w:szCs w:val="32"/>
          <w:lang w:val="en-US" w:eastAsia="zh-CN"/>
        </w:rPr>
        <w:t>服务事项</w:t>
      </w:r>
      <w:r>
        <w:rPr>
          <w:rFonts w:hint="eastAsia" w:ascii="仿宋_GB2312" w:hAnsi="仿宋_GB2312" w:eastAsia="仿宋_GB2312" w:cs="仿宋_GB2312"/>
          <w:b/>
          <w:bCs/>
          <w:sz w:val="32"/>
          <w:szCs w:val="32"/>
        </w:rPr>
        <w:t>”</w:t>
      </w:r>
    </w:p>
    <w:p w14:paraId="3777F05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本章</w:t>
      </w:r>
      <w:r>
        <w:rPr>
          <w:rFonts w:hint="eastAsia" w:ascii="仿宋_GB2312" w:hAnsi="仿宋_GB2312" w:eastAsia="仿宋_GB2312" w:cs="仿宋_GB2312"/>
          <w:sz w:val="32"/>
          <w:szCs w:val="32"/>
          <w:lang w:val="en-US" w:eastAsia="zh-CN"/>
        </w:rPr>
        <w:t>对工业（产业）园区企业服务事项提出要求</w:t>
      </w:r>
      <w:r>
        <w:rPr>
          <w:rFonts w:hint="eastAsia" w:ascii="仿宋_GB2312" w:hAnsi="仿宋_GB2312" w:eastAsia="仿宋_GB2312" w:cs="仿宋_GB2312"/>
          <w:sz w:val="32"/>
          <w:szCs w:val="32"/>
        </w:rPr>
        <w:t>。</w:t>
      </w:r>
    </w:p>
    <w:p w14:paraId="1FB3AB7C">
      <w:pPr>
        <w:pStyle w:val="6"/>
        <w:keepNext w:val="0"/>
        <w:keepLines w:val="0"/>
        <w:pageBreakBefore w:val="0"/>
        <w:numPr>
          <w:ilvl w:val="0"/>
          <w:numId w:val="10"/>
        </w:numPr>
        <w:kinsoku/>
        <w:wordWrap/>
        <w:overflowPunct/>
        <w:topLinePunct w:val="0"/>
        <w:autoSpaceDE/>
        <w:autoSpaceDN/>
        <w:bidi w:val="0"/>
        <w:adjustRightInd/>
        <w:snapToGrid/>
        <w:spacing w:line="560" w:lineRule="exact"/>
        <w:ind w:firstLine="643" w:firstLineChars="200"/>
        <w:textAlignment w:val="auto"/>
        <w:outlineLvl w:val="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第7章  “</w:t>
      </w:r>
      <w:r>
        <w:rPr>
          <w:rFonts w:hint="eastAsia" w:ascii="仿宋_GB2312" w:hAnsi="仿宋_GB2312" w:eastAsia="仿宋_GB2312" w:cs="仿宋_GB2312"/>
          <w:b/>
          <w:bCs/>
          <w:sz w:val="32"/>
          <w:szCs w:val="32"/>
          <w:lang w:val="en-US" w:eastAsia="zh-CN"/>
        </w:rPr>
        <w:t>服务内容</w:t>
      </w:r>
      <w:r>
        <w:rPr>
          <w:rFonts w:hint="eastAsia" w:ascii="仿宋_GB2312" w:hAnsi="仿宋_GB2312" w:eastAsia="仿宋_GB2312" w:cs="仿宋_GB2312"/>
          <w:b/>
          <w:bCs/>
          <w:sz w:val="32"/>
          <w:szCs w:val="32"/>
        </w:rPr>
        <w:t>”</w:t>
      </w:r>
    </w:p>
    <w:p w14:paraId="51309B4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本章</w:t>
      </w:r>
      <w:r>
        <w:rPr>
          <w:rFonts w:hint="eastAsia" w:ascii="仿宋_GB2312" w:hAnsi="仿宋_GB2312" w:eastAsia="仿宋_GB2312" w:cs="仿宋_GB2312"/>
          <w:sz w:val="32"/>
          <w:szCs w:val="32"/>
          <w:lang w:val="en-US" w:eastAsia="zh-CN"/>
        </w:rPr>
        <w:t>从园区准入、企业开办、落地建成、投资达产、发展壮大五个阶段对企业服务内容提出要求</w:t>
      </w:r>
      <w:r>
        <w:rPr>
          <w:rFonts w:hint="eastAsia" w:ascii="仿宋_GB2312" w:hAnsi="仿宋_GB2312" w:eastAsia="仿宋_GB2312" w:cs="仿宋_GB2312"/>
          <w:sz w:val="32"/>
          <w:szCs w:val="32"/>
        </w:rPr>
        <w:t>。</w:t>
      </w:r>
    </w:p>
    <w:p w14:paraId="76AD2E4A">
      <w:pPr>
        <w:pStyle w:val="6"/>
        <w:keepNext w:val="0"/>
        <w:keepLines w:val="0"/>
        <w:pageBreakBefore w:val="0"/>
        <w:numPr>
          <w:ilvl w:val="0"/>
          <w:numId w:val="10"/>
        </w:numPr>
        <w:kinsoku/>
        <w:wordWrap/>
        <w:overflowPunct/>
        <w:topLinePunct w:val="0"/>
        <w:autoSpaceDE/>
        <w:autoSpaceDN/>
        <w:bidi w:val="0"/>
        <w:adjustRightInd/>
        <w:snapToGrid/>
        <w:spacing w:line="560" w:lineRule="exact"/>
        <w:ind w:firstLine="643" w:firstLineChars="200"/>
        <w:textAlignment w:val="auto"/>
        <w:outlineLvl w:val="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b/>
          <w:bCs/>
          <w:sz w:val="32"/>
          <w:szCs w:val="32"/>
        </w:rPr>
        <w:t>章  “</w:t>
      </w:r>
      <w:r>
        <w:rPr>
          <w:rFonts w:hint="eastAsia" w:ascii="仿宋_GB2312" w:hAnsi="仿宋_GB2312" w:eastAsia="仿宋_GB2312" w:cs="仿宋_GB2312"/>
          <w:b/>
          <w:bCs/>
          <w:sz w:val="32"/>
          <w:szCs w:val="32"/>
          <w:lang w:val="en-US" w:eastAsia="zh-CN"/>
        </w:rPr>
        <w:t>服务方式</w:t>
      </w:r>
      <w:r>
        <w:rPr>
          <w:rFonts w:hint="eastAsia" w:ascii="仿宋_GB2312" w:hAnsi="仿宋_GB2312" w:eastAsia="仿宋_GB2312" w:cs="仿宋_GB2312"/>
          <w:b/>
          <w:bCs/>
          <w:sz w:val="32"/>
          <w:szCs w:val="32"/>
        </w:rPr>
        <w:t>”</w:t>
      </w:r>
    </w:p>
    <w:p w14:paraId="411B0F1C">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outlineLvl w:val="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w:t>
      </w:r>
      <w:r>
        <w:rPr>
          <w:rFonts w:hint="eastAsia" w:ascii="仿宋_GB2312" w:hAnsi="仿宋_GB2312" w:eastAsia="仿宋_GB2312" w:cs="仿宋_GB2312"/>
          <w:b w:val="0"/>
          <w:bCs w:val="0"/>
          <w:kern w:val="2"/>
          <w:sz w:val="32"/>
          <w:szCs w:val="32"/>
          <w:lang w:val="en-US" w:eastAsia="zh-CN" w:bidi="ar-SA"/>
        </w:rPr>
        <w:t>章对现场服务、帮代办服务、线上服务等服务方式提出要求。</w:t>
      </w:r>
    </w:p>
    <w:p w14:paraId="1720BD8A">
      <w:pPr>
        <w:pStyle w:val="6"/>
        <w:keepNext w:val="0"/>
        <w:keepLines w:val="0"/>
        <w:pageBreakBefore w:val="0"/>
        <w:numPr>
          <w:ilvl w:val="0"/>
          <w:numId w:val="10"/>
        </w:numPr>
        <w:kinsoku/>
        <w:wordWrap/>
        <w:overflowPunct/>
        <w:topLinePunct w:val="0"/>
        <w:autoSpaceDE/>
        <w:autoSpaceDN/>
        <w:bidi w:val="0"/>
        <w:adjustRightInd/>
        <w:snapToGrid/>
        <w:spacing w:line="560" w:lineRule="exact"/>
        <w:ind w:firstLine="643" w:firstLineChars="200"/>
        <w:textAlignment w:val="auto"/>
        <w:outlineLvl w:val="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9</w:t>
      </w:r>
      <w:r>
        <w:rPr>
          <w:rFonts w:hint="eastAsia" w:ascii="仿宋_GB2312" w:hAnsi="仿宋_GB2312" w:eastAsia="仿宋_GB2312" w:cs="仿宋_GB2312"/>
          <w:b/>
          <w:bCs/>
          <w:sz w:val="32"/>
          <w:szCs w:val="32"/>
        </w:rPr>
        <w:t>章  “</w:t>
      </w:r>
      <w:r>
        <w:rPr>
          <w:rFonts w:hint="eastAsia" w:ascii="仿宋_GB2312" w:hAnsi="仿宋_GB2312" w:eastAsia="仿宋_GB2312" w:cs="仿宋_GB2312"/>
          <w:b/>
          <w:bCs/>
          <w:sz w:val="32"/>
          <w:szCs w:val="32"/>
          <w:lang w:val="en-US" w:eastAsia="zh-CN"/>
        </w:rPr>
        <w:t>服务评价与改进</w:t>
      </w:r>
      <w:r>
        <w:rPr>
          <w:rFonts w:hint="eastAsia" w:ascii="仿宋_GB2312" w:hAnsi="仿宋_GB2312" w:eastAsia="仿宋_GB2312" w:cs="仿宋_GB2312"/>
          <w:b/>
          <w:bCs/>
          <w:sz w:val="32"/>
          <w:szCs w:val="32"/>
        </w:rPr>
        <w:t>”</w:t>
      </w:r>
    </w:p>
    <w:p w14:paraId="7A29AEB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本章</w:t>
      </w:r>
      <w:r>
        <w:rPr>
          <w:rFonts w:hint="eastAsia" w:ascii="仿宋_GB2312" w:hAnsi="仿宋_GB2312" w:eastAsia="仿宋_GB2312" w:cs="仿宋_GB2312"/>
          <w:sz w:val="32"/>
          <w:szCs w:val="32"/>
          <w:lang w:val="en-US" w:eastAsia="zh-CN"/>
        </w:rPr>
        <w:t>围绕服务闭环管理提出要求，包括服务评价、服务反馈、评价改进三项机制</w:t>
      </w:r>
      <w:r>
        <w:rPr>
          <w:rFonts w:hint="eastAsia" w:ascii="仿宋_GB2312" w:hAnsi="仿宋_GB2312" w:eastAsia="仿宋_GB2312" w:cs="仿宋_GB2312"/>
          <w:sz w:val="32"/>
          <w:szCs w:val="32"/>
        </w:rPr>
        <w:t>。</w:t>
      </w:r>
    </w:p>
    <w:p w14:paraId="1A70374F">
      <w:pPr>
        <w:keepNext w:val="0"/>
        <w:keepLines w:val="0"/>
        <w:pageBreakBefore w:val="0"/>
        <w:numPr>
          <w:ilvl w:val="0"/>
          <w:numId w:val="5"/>
        </w:numPr>
        <w:kinsoku/>
        <w:wordWrap/>
        <w:overflowPunct/>
        <w:topLinePunct w:val="0"/>
        <w:autoSpaceDE/>
        <w:autoSpaceDN/>
        <w:bidi w:val="0"/>
        <w:adjustRightInd/>
        <w:snapToGrid/>
        <w:spacing w:line="560" w:lineRule="exact"/>
        <w:ind w:firstLine="643" w:firstLineChars="200"/>
        <w:textAlignment w:val="auto"/>
        <w:rPr>
          <w:rFonts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主要试验验证的分析、综述</w:t>
      </w:r>
    </w:p>
    <w:p w14:paraId="617AEEB4">
      <w:pPr>
        <w:keepNext w:val="0"/>
        <w:keepLines w:val="0"/>
        <w:pageBreakBefore w:val="0"/>
        <w:widowControl/>
        <w:numPr>
          <w:ilvl w:val="0"/>
          <w:numId w:val="11"/>
        </w:numPr>
        <w:kinsoku/>
        <w:wordWrap/>
        <w:overflowPunct/>
        <w:topLinePunct w:val="0"/>
        <w:autoSpaceDE/>
        <w:autoSpaceDN/>
        <w:bidi w:val="0"/>
        <w:adjustRightInd/>
        <w:snapToGrid/>
        <w:spacing w:line="560" w:lineRule="exact"/>
        <w:ind w:firstLine="643" w:firstLineChars="200"/>
        <w:jc w:val="left"/>
        <w:textAlignment w:val="auto"/>
        <w:rPr>
          <w:rFonts w:ascii="楷体_GB2312" w:hAnsi="楷体_GB2312" w:eastAsia="楷体_GB2312" w:cs="楷体_GB2312"/>
          <w:b/>
          <w:bCs/>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bCs/>
          <w:color w:val="000000" w:themeColor="text1"/>
          <w:kern w:val="0"/>
          <w:sz w:val="32"/>
          <w:szCs w:val="32"/>
          <w:lang w:bidi="ar"/>
          <w14:textFill>
            <w14:solidFill>
              <w14:schemeClr w14:val="tx1"/>
            </w14:solidFill>
          </w14:textFill>
        </w:rPr>
        <w:t>主要试验验证的分析</w:t>
      </w:r>
    </w:p>
    <w:p w14:paraId="60C8211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无。</w:t>
      </w:r>
    </w:p>
    <w:p w14:paraId="729FBF10">
      <w:pPr>
        <w:keepNext w:val="0"/>
        <w:keepLines w:val="0"/>
        <w:pageBreakBefore w:val="0"/>
        <w:widowControl/>
        <w:numPr>
          <w:ilvl w:val="0"/>
          <w:numId w:val="11"/>
        </w:numPr>
        <w:kinsoku/>
        <w:wordWrap/>
        <w:overflowPunct/>
        <w:topLinePunct w:val="0"/>
        <w:autoSpaceDE/>
        <w:autoSpaceDN/>
        <w:bidi w:val="0"/>
        <w:adjustRightInd/>
        <w:snapToGrid/>
        <w:spacing w:line="560" w:lineRule="exact"/>
        <w:ind w:firstLine="643" w:firstLineChars="200"/>
        <w:jc w:val="left"/>
        <w:textAlignment w:val="auto"/>
        <w:rPr>
          <w:rFonts w:ascii="楷体_GB2312" w:hAnsi="楷体_GB2312" w:eastAsia="楷体_GB2312" w:cs="楷体_GB2312"/>
          <w:b/>
          <w:bCs/>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bCs/>
          <w:color w:val="000000" w:themeColor="text1"/>
          <w:kern w:val="0"/>
          <w:sz w:val="32"/>
          <w:szCs w:val="32"/>
          <w:lang w:bidi="ar"/>
          <w14:textFill>
            <w14:solidFill>
              <w14:schemeClr w14:val="tx1"/>
            </w14:solidFill>
          </w14:textFill>
        </w:rPr>
        <w:t>综述报告</w:t>
      </w:r>
    </w:p>
    <w:p w14:paraId="52F601E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业园区是我国开放型经济发展的重要推动力，改革开放以来，中国的产业园区发展势头强劲，从初期的经济发展特区、工业园，到开发区、高新区，再到现在的产业新城、文创园、科技园，形式多样，内涵丰富，其承担的主要任务也从单纯的对外开放和机械加工制造业转变为发展新兴产业和技术创新，为中国的经济发展提供了强有力的支撑，极大促进了城镇化和工业化的进程。近年来，为有效引导园区产业结构调整，促进产业集群发展，培育战略性新兴产业和新的经济增长点，提升各类别产业园区的综合竞争力和可持续发展动能，国家、省市区三级政府相继出台了一系列的政策</w:t>
      </w:r>
      <w:r>
        <w:rPr>
          <w:rFonts w:hint="eastAsia" w:ascii="仿宋_GB2312" w:hAnsi="仿宋_GB2312" w:eastAsia="仿宋_GB2312" w:cs="仿宋_GB2312"/>
          <w:sz w:val="32"/>
          <w:szCs w:val="32"/>
          <w:lang w:val="en-US" w:eastAsia="zh-CN"/>
        </w:rPr>
        <w:t>文件，为园区企业服务标准化提供政策依据</w:t>
      </w:r>
      <w:r>
        <w:rPr>
          <w:rFonts w:hint="eastAsia" w:ascii="仿宋_GB2312" w:hAnsi="仿宋_GB2312" w:eastAsia="仿宋_GB2312" w:cs="仿宋_GB2312"/>
          <w:sz w:val="32"/>
          <w:szCs w:val="32"/>
        </w:rPr>
        <w:t>。《优化营商环境条例》《关于加快推进政务服务标准化规范化便利化的指导意见》（国发〔2022〕5号）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《福建省优化营商环境条例》</w:t>
      </w:r>
      <w:r>
        <w:rPr>
          <w:rFonts w:hint="eastAsia" w:ascii="仿宋_GB2312" w:hAnsi="仿宋_GB2312" w:eastAsia="仿宋_GB2312" w:cs="仿宋_GB2312"/>
          <w:sz w:val="32"/>
          <w:szCs w:val="32"/>
          <w:lang w:val="en-US" w:eastAsia="zh-CN"/>
        </w:rPr>
        <w:t>等均明确要求推进政务服务标准化、集成化、便利化，</w:t>
      </w:r>
      <w:r>
        <w:rPr>
          <w:rFonts w:hint="eastAsia" w:ascii="仿宋_GB2312" w:hAnsi="仿宋_GB2312" w:eastAsia="仿宋_GB2312" w:cs="仿宋_GB2312"/>
          <w:sz w:val="32"/>
          <w:szCs w:val="32"/>
        </w:rPr>
        <w:t>推行一窗受理、网上办理、移动掌上办理、自助终端办理、帮办代办等服务模式，为标准的制定提供了坚实的政策基础。</w:t>
      </w:r>
    </w:p>
    <w:p w14:paraId="6531379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在此背景下，为深入贯彻党的二十大和二十届历次全会精神，落实习近平总书记来闽考察重要讲话及关于营商环境建设的重要论述，围绕优化营商环境核心目标，龙岩高新区（经开区）企业服务中心创新</w:t>
      </w:r>
      <w:r>
        <w:rPr>
          <w:rFonts w:hint="eastAsia" w:ascii="仿宋_GB2312" w:hAnsi="仿宋_GB2312" w:eastAsia="仿宋_GB2312" w:cs="仿宋_GB2312"/>
          <w:sz w:val="32"/>
          <w:szCs w:val="32"/>
          <w:lang w:val="en-US" w:eastAsia="zh-CN"/>
        </w:rPr>
        <w:t>推行</w:t>
      </w:r>
      <w:r>
        <w:rPr>
          <w:rFonts w:hint="eastAsia" w:ascii="仿宋_GB2312" w:hAnsi="仿宋_GB2312" w:eastAsia="仿宋_GB2312" w:cs="仿宋_GB2312"/>
          <w:sz w:val="32"/>
          <w:szCs w:val="32"/>
        </w:rPr>
        <w:t>“五心五到”的“妈妈式”服务，构建“问题收集—分析分类—结果反馈—销</w:t>
      </w:r>
      <w:bookmarkStart w:id="0" w:name="_GoBack"/>
      <w:bookmarkEnd w:id="0"/>
      <w:r>
        <w:rPr>
          <w:rFonts w:hint="eastAsia" w:ascii="仿宋_GB2312" w:hAnsi="仿宋_GB2312" w:eastAsia="仿宋_GB2312" w:cs="仿宋_GB2312"/>
          <w:sz w:val="32"/>
          <w:szCs w:val="32"/>
        </w:rPr>
        <w:t>单处理”闭环工作机制，</w:t>
      </w:r>
      <w:r>
        <w:rPr>
          <w:rFonts w:hint="eastAsia" w:ascii="仿宋_GB2312" w:hAnsi="仿宋_GB2312" w:eastAsia="仿宋_GB2312" w:cs="仿宋_GB2312"/>
          <w:sz w:val="32"/>
          <w:szCs w:val="32"/>
          <w:lang w:val="en-US" w:eastAsia="zh-CN"/>
        </w:rPr>
        <w:t>形成可复制、可推广的实践经验。</w:t>
      </w:r>
    </w:p>
    <w:p w14:paraId="0A77BDA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基于此，制定福建省地方标准《工业（产业）园区企业服务通则》，既是对龙岩高新区（经开区）企业服务特色成果的总结提炼，也是对全省产业园区服务</w:t>
      </w:r>
      <w:r>
        <w:rPr>
          <w:rFonts w:hint="eastAsia" w:ascii="仿宋_GB2312" w:hAnsi="仿宋_GB2312" w:eastAsia="仿宋_GB2312" w:cs="仿宋_GB2312"/>
          <w:sz w:val="32"/>
          <w:szCs w:val="32"/>
          <w:lang w:val="en-US" w:eastAsia="zh-CN"/>
        </w:rPr>
        <w:t>实践</w:t>
      </w:r>
      <w:r>
        <w:rPr>
          <w:rFonts w:hint="eastAsia" w:ascii="仿宋_GB2312" w:hAnsi="仿宋_GB2312" w:eastAsia="仿宋_GB2312" w:cs="仿宋_GB2312"/>
          <w:sz w:val="32"/>
          <w:szCs w:val="32"/>
        </w:rPr>
        <w:t>的系统整合。通过标准化手段</w:t>
      </w:r>
      <w:r>
        <w:rPr>
          <w:rFonts w:hint="eastAsia" w:ascii="仿宋_GB2312" w:hAnsi="仿宋_GB2312" w:eastAsia="仿宋_GB2312" w:cs="仿宋_GB2312"/>
          <w:sz w:val="32"/>
          <w:szCs w:val="32"/>
          <w:lang w:val="en-US" w:eastAsia="zh-CN"/>
        </w:rPr>
        <w:t>统一服务规范、理顺服务流程、强化全生命周期服务，可有效提升园区服务质效，降低企业制度性交易成本，优化营商环境，激发市场主体活力，助力产业集聚与区域经济高质量发展。</w:t>
      </w:r>
    </w:p>
    <w:p w14:paraId="05D3F6B2">
      <w:pPr>
        <w:keepNext w:val="0"/>
        <w:keepLines w:val="0"/>
        <w:pageBreakBefore w:val="0"/>
        <w:numPr>
          <w:ilvl w:val="0"/>
          <w:numId w:val="5"/>
        </w:numPr>
        <w:kinsoku/>
        <w:wordWrap/>
        <w:overflowPunct/>
        <w:topLinePunct w:val="0"/>
        <w:autoSpaceDE/>
        <w:autoSpaceDN/>
        <w:bidi w:val="0"/>
        <w:adjustRightInd/>
        <w:snapToGrid/>
        <w:spacing w:line="560" w:lineRule="exact"/>
        <w:ind w:firstLine="643" w:firstLineChars="200"/>
        <w:textAlignment w:val="auto"/>
        <w:rPr>
          <w:rFonts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采标情况及与国内外同类标准的对比情况</w:t>
      </w:r>
    </w:p>
    <w:p w14:paraId="4EE983EE">
      <w:pPr>
        <w:keepNext w:val="0"/>
        <w:keepLines w:val="0"/>
        <w:pageBreakBefore w:val="0"/>
        <w:widowControl/>
        <w:numPr>
          <w:ilvl w:val="0"/>
          <w:numId w:val="12"/>
        </w:numPr>
        <w:kinsoku/>
        <w:wordWrap/>
        <w:overflowPunct/>
        <w:topLinePunct w:val="0"/>
        <w:autoSpaceDE/>
        <w:autoSpaceDN/>
        <w:bidi w:val="0"/>
        <w:adjustRightInd/>
        <w:snapToGrid/>
        <w:spacing w:line="560" w:lineRule="exact"/>
        <w:ind w:firstLine="643" w:firstLineChars="200"/>
        <w:jc w:val="left"/>
        <w:textAlignment w:val="auto"/>
        <w:rPr>
          <w:rFonts w:ascii="楷体_GB2312" w:hAnsi="楷体_GB2312" w:eastAsia="楷体_GB2312" w:cs="楷体_GB2312"/>
          <w:b/>
          <w:bCs/>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bCs/>
          <w:color w:val="000000" w:themeColor="text1"/>
          <w:kern w:val="0"/>
          <w:sz w:val="32"/>
          <w:szCs w:val="32"/>
          <w:lang w:bidi="ar"/>
          <w14:textFill>
            <w14:solidFill>
              <w14:schemeClr w14:val="tx1"/>
            </w14:solidFill>
          </w14:textFill>
        </w:rPr>
        <w:t>采用国际标准或国外先进标准的情况</w:t>
      </w:r>
    </w:p>
    <w:p w14:paraId="79AED44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本标准未采用国际标准和国外先进标准。</w:t>
      </w:r>
    </w:p>
    <w:p w14:paraId="2A91AC3F">
      <w:pPr>
        <w:keepNext w:val="0"/>
        <w:keepLines w:val="0"/>
        <w:pageBreakBefore w:val="0"/>
        <w:widowControl/>
        <w:numPr>
          <w:ilvl w:val="0"/>
          <w:numId w:val="12"/>
        </w:numPr>
        <w:kinsoku/>
        <w:wordWrap/>
        <w:overflowPunct/>
        <w:topLinePunct w:val="0"/>
        <w:autoSpaceDE/>
        <w:autoSpaceDN/>
        <w:bidi w:val="0"/>
        <w:adjustRightInd/>
        <w:snapToGrid/>
        <w:spacing w:line="560" w:lineRule="exact"/>
        <w:ind w:firstLine="643" w:firstLineChars="200"/>
        <w:jc w:val="left"/>
        <w:textAlignment w:val="auto"/>
        <w:rPr>
          <w:rFonts w:ascii="楷体_GB2312" w:hAnsi="楷体_GB2312" w:eastAsia="楷体_GB2312" w:cs="楷体_GB2312"/>
          <w:b/>
          <w:bCs/>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bCs/>
          <w:color w:val="000000" w:themeColor="text1"/>
          <w:kern w:val="0"/>
          <w:sz w:val="32"/>
          <w:szCs w:val="32"/>
          <w:lang w:bidi="ar"/>
          <w14:textFill>
            <w14:solidFill>
              <w14:schemeClr w14:val="tx1"/>
            </w14:solidFill>
          </w14:textFill>
        </w:rPr>
        <w:t>与国内外同类标准水平的对比情况</w:t>
      </w:r>
    </w:p>
    <w:p w14:paraId="53D4955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无。</w:t>
      </w:r>
    </w:p>
    <w:p w14:paraId="0269AB15">
      <w:pPr>
        <w:keepNext w:val="0"/>
        <w:keepLines w:val="0"/>
        <w:pageBreakBefore w:val="0"/>
        <w:numPr>
          <w:ilvl w:val="0"/>
          <w:numId w:val="5"/>
        </w:numPr>
        <w:kinsoku/>
        <w:wordWrap/>
        <w:overflowPunct/>
        <w:topLinePunct w:val="0"/>
        <w:autoSpaceDE/>
        <w:autoSpaceDN/>
        <w:bidi w:val="0"/>
        <w:adjustRightInd/>
        <w:snapToGrid/>
        <w:spacing w:line="560" w:lineRule="exact"/>
        <w:ind w:firstLine="643" w:firstLineChars="200"/>
        <w:textAlignment w:val="auto"/>
        <w:rPr>
          <w:rFonts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重大意见分歧的处理依据和结果</w:t>
      </w:r>
    </w:p>
    <w:p w14:paraId="12C847B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无。</w:t>
      </w:r>
    </w:p>
    <w:p w14:paraId="40963B71">
      <w:pPr>
        <w:keepNext w:val="0"/>
        <w:keepLines w:val="0"/>
        <w:pageBreakBefore w:val="0"/>
        <w:numPr>
          <w:ilvl w:val="0"/>
          <w:numId w:val="5"/>
        </w:numPr>
        <w:kinsoku/>
        <w:wordWrap/>
        <w:overflowPunct/>
        <w:topLinePunct w:val="0"/>
        <w:autoSpaceDE/>
        <w:autoSpaceDN/>
        <w:bidi w:val="0"/>
        <w:adjustRightInd/>
        <w:snapToGrid/>
        <w:spacing w:line="560" w:lineRule="exact"/>
        <w:ind w:firstLine="643" w:firstLineChars="200"/>
        <w:textAlignment w:val="auto"/>
        <w:rPr>
          <w:rFonts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废止现行有关标准的建议</w:t>
      </w:r>
    </w:p>
    <w:p w14:paraId="5B658C1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标准条款未与其他有关标准发生冲突，因此本标准的颁布，不涉及废止现行有关标准。</w:t>
      </w:r>
    </w:p>
    <w:p w14:paraId="7276F02B">
      <w:pPr>
        <w:keepNext w:val="0"/>
        <w:keepLines w:val="0"/>
        <w:pageBreakBefore w:val="0"/>
        <w:numPr>
          <w:ilvl w:val="0"/>
          <w:numId w:val="5"/>
        </w:numPr>
        <w:kinsoku/>
        <w:wordWrap/>
        <w:overflowPunct/>
        <w:topLinePunct w:val="0"/>
        <w:autoSpaceDE/>
        <w:autoSpaceDN/>
        <w:bidi w:val="0"/>
        <w:adjustRightInd/>
        <w:snapToGrid/>
        <w:spacing w:line="560" w:lineRule="exact"/>
        <w:ind w:firstLine="643" w:firstLineChars="200"/>
        <w:textAlignment w:val="auto"/>
        <w:rPr>
          <w:rFonts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设置强制性条款的理由</w:t>
      </w:r>
    </w:p>
    <w:p w14:paraId="668B16E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根据《中华人民共和国标准化法》第二条：“本法所称标准（含标准样品），是指农业、工业、服务业以及社会事业等领域需要统一的技术要求。标准包括国家标准、行业标准、地方标准和团体标准、企业标准。国家标准分为强制性标准、推荐性标准，行业标准、地方标准是推荐性标准。强制性标准必须执行。国家鼓励采用推荐性标准。”本标准属于地方标准，是推荐性标准，不涉及强制性条款。</w:t>
      </w:r>
    </w:p>
    <w:p w14:paraId="6EAB2E0C">
      <w:pPr>
        <w:keepNext w:val="0"/>
        <w:keepLines w:val="0"/>
        <w:pageBreakBefore w:val="0"/>
        <w:numPr>
          <w:ilvl w:val="0"/>
          <w:numId w:val="5"/>
        </w:numPr>
        <w:kinsoku/>
        <w:wordWrap/>
        <w:overflowPunct/>
        <w:topLinePunct w:val="0"/>
        <w:autoSpaceDE/>
        <w:autoSpaceDN/>
        <w:bidi w:val="0"/>
        <w:adjustRightInd/>
        <w:snapToGrid/>
        <w:spacing w:line="560" w:lineRule="exact"/>
        <w:ind w:firstLine="643" w:firstLineChars="200"/>
        <w:textAlignment w:val="auto"/>
        <w:rPr>
          <w:rFonts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贯彻强制性标准的要求和标准实施日期的建议</w:t>
      </w:r>
    </w:p>
    <w:p w14:paraId="14807264">
      <w:pPr>
        <w:keepNext w:val="0"/>
        <w:keepLines w:val="0"/>
        <w:pageBreakBefore w:val="0"/>
        <w:widowControl/>
        <w:numPr>
          <w:ilvl w:val="0"/>
          <w:numId w:val="13"/>
        </w:numPr>
        <w:kinsoku/>
        <w:wordWrap/>
        <w:overflowPunct/>
        <w:topLinePunct w:val="0"/>
        <w:autoSpaceDE/>
        <w:autoSpaceDN/>
        <w:bidi w:val="0"/>
        <w:adjustRightInd/>
        <w:snapToGrid/>
        <w:spacing w:line="560" w:lineRule="exact"/>
        <w:ind w:firstLine="643" w:firstLineChars="200"/>
        <w:jc w:val="left"/>
        <w:textAlignment w:val="auto"/>
        <w:rPr>
          <w:rFonts w:ascii="楷体_GB2312" w:hAnsi="楷体_GB2312" w:eastAsia="楷体_GB2312" w:cs="楷体_GB2312"/>
          <w:b/>
          <w:bCs/>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bCs/>
          <w:color w:val="000000" w:themeColor="text1"/>
          <w:kern w:val="0"/>
          <w:sz w:val="32"/>
          <w:szCs w:val="32"/>
          <w:lang w:bidi="ar"/>
          <w14:textFill>
            <w14:solidFill>
              <w14:schemeClr w14:val="tx1"/>
            </w14:solidFill>
          </w14:textFill>
        </w:rPr>
        <w:t>贯彻强制性标准的要求</w:t>
      </w:r>
    </w:p>
    <w:p w14:paraId="2F08D3B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无。</w:t>
      </w:r>
    </w:p>
    <w:p w14:paraId="3F463602">
      <w:pPr>
        <w:keepNext w:val="0"/>
        <w:keepLines w:val="0"/>
        <w:pageBreakBefore w:val="0"/>
        <w:widowControl/>
        <w:numPr>
          <w:ilvl w:val="0"/>
          <w:numId w:val="13"/>
        </w:numPr>
        <w:kinsoku/>
        <w:wordWrap/>
        <w:overflowPunct/>
        <w:topLinePunct w:val="0"/>
        <w:autoSpaceDE/>
        <w:autoSpaceDN/>
        <w:bidi w:val="0"/>
        <w:adjustRightInd/>
        <w:snapToGrid/>
        <w:spacing w:line="560" w:lineRule="exact"/>
        <w:ind w:firstLine="643" w:firstLineChars="200"/>
        <w:jc w:val="left"/>
        <w:textAlignment w:val="auto"/>
        <w:rPr>
          <w:rFonts w:ascii="楷体_GB2312" w:hAnsi="楷体_GB2312" w:eastAsia="楷体_GB2312" w:cs="楷体_GB2312"/>
          <w:b/>
          <w:bCs/>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bCs/>
          <w:color w:val="000000" w:themeColor="text1"/>
          <w:kern w:val="0"/>
          <w:sz w:val="32"/>
          <w:szCs w:val="32"/>
          <w:lang w:bidi="ar"/>
          <w14:textFill>
            <w14:solidFill>
              <w14:schemeClr w14:val="tx1"/>
            </w14:solidFill>
          </w14:textFill>
        </w:rPr>
        <w:t>标准实施日期的建议</w:t>
      </w:r>
    </w:p>
    <w:p w14:paraId="49B4A6C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建议尽快发布实施，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以规范全省工业（产业）园区企业服务，提升服务效能与规范化水平</w:t>
      </w:r>
      <w:r>
        <w:rPr>
          <w:rFonts w:hint="eastAsia" w:ascii="仿宋_GB2312" w:hAnsi="仿宋_GB2312" w:eastAsia="仿宋_GB2312" w:cs="仿宋_GB2312"/>
          <w:color w:val="000000" w:themeColor="text1"/>
          <w:sz w:val="32"/>
          <w:szCs w:val="32"/>
          <w14:textFill>
            <w14:solidFill>
              <w14:schemeClr w14:val="tx1"/>
            </w14:solidFill>
          </w14:textFill>
        </w:rPr>
        <w:t>。</w:t>
      </w:r>
    </w:p>
    <w:p w14:paraId="1243A700">
      <w:pPr>
        <w:keepNext w:val="0"/>
        <w:keepLines w:val="0"/>
        <w:pageBreakBefore w:val="0"/>
        <w:numPr>
          <w:ilvl w:val="0"/>
          <w:numId w:val="5"/>
        </w:numPr>
        <w:kinsoku/>
        <w:wordWrap/>
        <w:overflowPunct/>
        <w:topLinePunct w:val="0"/>
        <w:autoSpaceDE/>
        <w:autoSpaceDN/>
        <w:bidi w:val="0"/>
        <w:adjustRightInd/>
        <w:snapToGrid/>
        <w:spacing w:line="560" w:lineRule="exact"/>
        <w:ind w:firstLine="643" w:firstLineChars="200"/>
        <w:textAlignment w:val="auto"/>
        <w:rPr>
          <w:rFonts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其他予以说明的事项</w:t>
      </w:r>
    </w:p>
    <w:p w14:paraId="70CC5A0F">
      <w:pPr>
        <w:keepNext w:val="0"/>
        <w:keepLines w:val="0"/>
        <w:pageBreakBefore w:val="0"/>
        <w:widowControl/>
        <w:numPr>
          <w:ilvl w:val="0"/>
          <w:numId w:val="14"/>
        </w:numPr>
        <w:kinsoku/>
        <w:wordWrap/>
        <w:overflowPunct/>
        <w:topLinePunct w:val="0"/>
        <w:autoSpaceDE/>
        <w:autoSpaceDN/>
        <w:bidi w:val="0"/>
        <w:adjustRightInd/>
        <w:snapToGrid/>
        <w:spacing w:line="560" w:lineRule="exact"/>
        <w:ind w:firstLine="643" w:firstLineChars="200"/>
        <w:jc w:val="left"/>
        <w:textAlignment w:val="auto"/>
        <w:rPr>
          <w:rFonts w:ascii="楷体_GB2312" w:hAnsi="楷体_GB2312" w:eastAsia="楷体_GB2312" w:cs="楷体_GB2312"/>
          <w:b/>
          <w:bCs/>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bCs/>
          <w:color w:val="000000" w:themeColor="text1"/>
          <w:kern w:val="0"/>
          <w:sz w:val="32"/>
          <w:szCs w:val="32"/>
          <w:lang w:bidi="ar"/>
          <w14:textFill>
            <w14:solidFill>
              <w14:schemeClr w14:val="tx1"/>
            </w14:solidFill>
          </w14:textFill>
        </w:rPr>
        <w:t>与有关的现行法律、法规和强制性标准的关系</w:t>
      </w:r>
    </w:p>
    <w:p w14:paraId="23EEA718">
      <w:pPr>
        <w:pStyle w:val="6"/>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本标准条款均符合国家现行的法律、法规及</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强制性</w:t>
      </w:r>
      <w:r>
        <w:rPr>
          <w:rFonts w:hint="eastAsia" w:ascii="仿宋_GB2312" w:hAnsi="仿宋_GB2312" w:eastAsia="仿宋_GB2312" w:cs="仿宋_GB2312"/>
          <w:color w:val="000000" w:themeColor="text1"/>
          <w:sz w:val="32"/>
          <w:szCs w:val="32"/>
          <w14:textFill>
            <w14:solidFill>
              <w14:schemeClr w14:val="tx1"/>
            </w14:solidFill>
          </w14:textFill>
        </w:rPr>
        <w:t>标准要求。</w:t>
      </w:r>
      <w:r>
        <w:rPr>
          <w:rFonts w:hint="eastAsia" w:ascii="仿宋" w:hAnsi="仿宋" w:eastAsia="仿宋" w:cs="仿宋"/>
          <w:color w:val="000000" w:themeColor="text1"/>
          <w:sz w:val="24"/>
          <w:szCs w:val="24"/>
          <w14:textFill>
            <w14:solidFill>
              <w14:schemeClr w14:val="tx1"/>
            </w14:solidFill>
          </w14:textFill>
        </w:rPr>
        <w:t xml:space="preserve"> </w:t>
      </w:r>
    </w:p>
    <w:p w14:paraId="5391CB14">
      <w:pPr>
        <w:keepNext w:val="0"/>
        <w:keepLines w:val="0"/>
        <w:pageBreakBefore w:val="0"/>
        <w:widowControl/>
        <w:numPr>
          <w:ilvl w:val="0"/>
          <w:numId w:val="14"/>
        </w:numPr>
        <w:kinsoku/>
        <w:wordWrap/>
        <w:overflowPunct/>
        <w:topLinePunct w:val="0"/>
        <w:autoSpaceDE/>
        <w:autoSpaceDN/>
        <w:bidi w:val="0"/>
        <w:adjustRightInd/>
        <w:snapToGrid/>
        <w:spacing w:line="560" w:lineRule="exact"/>
        <w:ind w:firstLine="643" w:firstLineChars="200"/>
        <w:jc w:val="left"/>
        <w:textAlignment w:val="auto"/>
        <w:rPr>
          <w:rFonts w:ascii="楷体_GB2312" w:hAnsi="楷体_GB2312" w:eastAsia="楷体_GB2312" w:cs="楷体_GB2312"/>
          <w:b/>
          <w:bCs/>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bCs/>
          <w:color w:val="000000" w:themeColor="text1"/>
          <w:kern w:val="0"/>
          <w:sz w:val="32"/>
          <w:szCs w:val="32"/>
          <w:lang w:bidi="ar"/>
          <w14:textFill>
            <w14:solidFill>
              <w14:schemeClr w14:val="tx1"/>
            </w14:solidFill>
          </w14:textFill>
        </w:rPr>
        <w:t>贯彻标准的要求、措施和建议</w:t>
      </w:r>
    </w:p>
    <w:p w14:paraId="75036513">
      <w:pPr>
        <w:pStyle w:val="6"/>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标准只有通过实施才能起作用，如果不能实施，再好的标准也是“一纸空文”，更无法体现它的作用。贯彻实施标准要做好宣传教育工作、有良好的实施方法和检查监督机制。具体来说：</w:t>
      </w:r>
    </w:p>
    <w:p w14:paraId="03F91831">
      <w:pPr>
        <w:pStyle w:val="6"/>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1.加大宣贯力度。利用报纸、电视、电台及微信、微博等各种新媒体大力宣传，为标准的实施营造良好的社会氛围</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提升标准知晓度与执行力</w:t>
      </w:r>
      <w:r>
        <w:rPr>
          <w:rFonts w:hint="eastAsia" w:ascii="仿宋_GB2312" w:hAnsi="仿宋_GB2312" w:eastAsia="仿宋_GB2312" w:cs="仿宋_GB2312"/>
          <w:color w:val="000000" w:themeColor="text1"/>
          <w:sz w:val="32"/>
          <w:szCs w:val="32"/>
          <w14:textFill>
            <w14:solidFill>
              <w14:schemeClr w14:val="tx1"/>
            </w14:solidFill>
          </w14:textFill>
        </w:rPr>
        <w:t>。</w:t>
      </w:r>
    </w:p>
    <w:p w14:paraId="24A32E67">
      <w:pPr>
        <w:pStyle w:val="6"/>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2.加强标准实施反馈。对在标准实施过程中发现的问题及提出的意见，要进行深入探讨和研究，做好标准的修订和完善工作，确保以标准化促进</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工业（产业）园区企业服务</w:t>
      </w:r>
      <w:r>
        <w:rPr>
          <w:rFonts w:hint="eastAsia" w:ascii="仿宋_GB2312" w:hAnsi="仿宋_GB2312" w:eastAsia="仿宋_GB2312" w:cs="仿宋_GB2312"/>
          <w:color w:val="000000" w:themeColor="text1"/>
          <w:sz w:val="32"/>
          <w:szCs w:val="32"/>
          <w14:textFill>
            <w14:solidFill>
              <w14:schemeClr w14:val="tx1"/>
            </w14:solidFill>
          </w14:textFill>
        </w:rPr>
        <w:t xml:space="preserve">工作取得成效。                            </w:t>
      </w:r>
    </w:p>
    <w:p w14:paraId="50165FE6">
      <w:pPr>
        <w:pStyle w:val="6"/>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14:paraId="18AA2C68">
      <w:pPr>
        <w:pStyle w:val="6"/>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标准起草小组</w:t>
      </w:r>
    </w:p>
    <w:p w14:paraId="05407F3F">
      <w:pPr>
        <w:pStyle w:val="6"/>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月</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C6EA4">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2B7B8E">
                          <w:pPr>
                            <w:pStyle w:val="8"/>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22B7B8E">
                    <w:pPr>
                      <w:pStyle w:val="8"/>
                    </w:pPr>
                    <w:r>
                      <w:fldChar w:fldCharType="begin"/>
                    </w:r>
                    <w:r>
                      <w:instrText xml:space="preserve"> PAGE  \* MERGEFORMAT </w:instrText>
                    </w:r>
                    <w:r>
                      <w:fldChar w:fldCharType="separate"/>
                    </w:r>
                    <w:r>
                      <w:t>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448D8A"/>
    <w:multiLevelType w:val="singleLevel"/>
    <w:tmpl w:val="90448D8A"/>
    <w:lvl w:ilvl="0" w:tentative="0">
      <w:start w:val="1"/>
      <w:numFmt w:val="chineseCounting"/>
      <w:suff w:val="nothing"/>
      <w:lvlText w:val="（%1）"/>
      <w:lvlJc w:val="left"/>
      <w:pPr>
        <w:ind w:left="0" w:firstLine="420"/>
      </w:pPr>
      <w:rPr>
        <w:rFonts w:hint="eastAsia"/>
      </w:rPr>
    </w:lvl>
  </w:abstractNum>
  <w:abstractNum w:abstractNumId="1">
    <w:nsid w:val="95F44415"/>
    <w:multiLevelType w:val="multilevel"/>
    <w:tmpl w:val="95F44415"/>
    <w:lvl w:ilvl="0" w:tentative="0">
      <w:start w:val="1"/>
      <w:numFmt w:val="decimal"/>
      <w:suff w:val="nothing"/>
      <w:lvlText w:val="%1　"/>
      <w:lvlJc w:val="left"/>
      <w:pPr>
        <w:ind w:left="0" w:firstLine="0"/>
      </w:pPr>
      <w:rPr>
        <w:rFonts w:hint="default" w:ascii="黑体" w:hAnsi="黑体" w:eastAsia="黑体" w:cs="黑体"/>
        <w:sz w:val="20"/>
      </w:rPr>
    </w:lvl>
    <w:lvl w:ilvl="1" w:tentative="0">
      <w:start w:val="1"/>
      <w:numFmt w:val="decimal"/>
      <w:suff w:val="nothing"/>
      <w:lvlText w:val="%1.%2　"/>
      <w:lvlJc w:val="left"/>
      <w:pPr>
        <w:ind w:left="0" w:firstLine="0"/>
      </w:pPr>
      <w:rPr>
        <w:rFonts w:hint="default" w:ascii="黑体" w:hAnsi="黑体" w:eastAsia="黑体" w:cs="黑体"/>
        <w:sz w:val="20"/>
      </w:rPr>
    </w:lvl>
    <w:lvl w:ilvl="2" w:tentative="0">
      <w:start w:val="1"/>
      <w:numFmt w:val="decimal"/>
      <w:pStyle w:val="24"/>
      <w:suff w:val="nothing"/>
      <w:lvlText w:val="%1.%2.%3　"/>
      <w:lvlJc w:val="left"/>
      <w:pPr>
        <w:ind w:left="0" w:firstLine="0"/>
      </w:pPr>
      <w:rPr>
        <w:rFonts w:hint="default" w:ascii="黑体" w:hAnsi="黑体" w:eastAsia="黑体" w:cs="黑体"/>
        <w:sz w:val="20"/>
      </w:rPr>
    </w:lvl>
    <w:lvl w:ilvl="3" w:tentative="0">
      <w:start w:val="1"/>
      <w:numFmt w:val="decimal"/>
      <w:suff w:val="nothing"/>
      <w:lvlText w:val="%1.%2.%3.%4　"/>
      <w:lvlJc w:val="left"/>
      <w:pPr>
        <w:ind w:left="0" w:firstLine="0"/>
      </w:pPr>
      <w:rPr>
        <w:rFonts w:hint="default" w:ascii="黑体" w:hAnsi="黑体" w:eastAsia="黑体" w:cs="黑体"/>
        <w:sz w:val="20"/>
      </w:rPr>
    </w:lvl>
    <w:lvl w:ilvl="4" w:tentative="0">
      <w:start w:val="1"/>
      <w:numFmt w:val="decimal"/>
      <w:suff w:val="nothing"/>
      <w:lvlText w:val="%1.%2.%3.%4.%5　"/>
      <w:lvlJc w:val="left"/>
      <w:pPr>
        <w:ind w:left="0" w:firstLine="0"/>
      </w:pPr>
      <w:rPr>
        <w:rFonts w:hint="default" w:ascii="黑体" w:hAnsi="黑体" w:eastAsia="黑体" w:cs="黑体"/>
        <w:sz w:val="20"/>
      </w:rPr>
    </w:lvl>
    <w:lvl w:ilvl="5" w:tentative="0">
      <w:start w:val="1"/>
      <w:numFmt w:val="decimal"/>
      <w:suff w:val="nothing"/>
      <w:lvlText w:val="%1.%2.%3.%4.%5.%6　"/>
      <w:lvlJc w:val="left"/>
      <w:pPr>
        <w:ind w:left="0" w:firstLine="0"/>
      </w:pPr>
      <w:rPr>
        <w:rFonts w:hint="default" w:ascii="黑体" w:hAnsi="黑体" w:eastAsia="黑体" w:cs="黑体"/>
        <w:sz w:val="20"/>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2">
    <w:nsid w:val="9ADB11A6"/>
    <w:multiLevelType w:val="singleLevel"/>
    <w:tmpl w:val="9ADB11A6"/>
    <w:lvl w:ilvl="0" w:tentative="0">
      <w:start w:val="1"/>
      <w:numFmt w:val="chineseCounting"/>
      <w:suff w:val="nothing"/>
      <w:lvlText w:val="%1、"/>
      <w:lvlJc w:val="left"/>
      <w:pPr>
        <w:ind w:left="0" w:firstLine="420"/>
      </w:pPr>
      <w:rPr>
        <w:rFonts w:hint="eastAsia"/>
      </w:rPr>
    </w:lvl>
  </w:abstractNum>
  <w:abstractNum w:abstractNumId="3">
    <w:nsid w:val="9DAF8A55"/>
    <w:multiLevelType w:val="singleLevel"/>
    <w:tmpl w:val="9DAF8A55"/>
    <w:lvl w:ilvl="0" w:tentative="0">
      <w:start w:val="1"/>
      <w:numFmt w:val="decimal"/>
      <w:suff w:val="nothing"/>
      <w:lvlText w:val="%1."/>
      <w:lvlJc w:val="left"/>
      <w:pPr>
        <w:ind w:left="0" w:firstLine="0"/>
      </w:pPr>
      <w:rPr>
        <w:rFonts w:hint="default"/>
      </w:rPr>
    </w:lvl>
  </w:abstractNum>
  <w:abstractNum w:abstractNumId="4">
    <w:nsid w:val="AAB41866"/>
    <w:multiLevelType w:val="multilevel"/>
    <w:tmpl w:val="AAB41866"/>
    <w:lvl w:ilvl="0" w:tentative="0">
      <w:start w:val="1"/>
      <w:numFmt w:val="none"/>
      <w:pStyle w:val="22"/>
      <w:lvlText w:val="%1——"/>
      <w:lvlJc w:val="left"/>
      <w:pPr>
        <w:tabs>
          <w:tab w:val="left" w:pos="851"/>
        </w:tabs>
        <w:ind w:left="851" w:hanging="426"/>
      </w:pPr>
      <w:rPr>
        <w:rFonts w:hint="default" w:ascii="Times New Roman" w:hAnsi="Times New Roman" w:eastAsia="宋体" w:cs="Times New Roman"/>
        <w:sz w:val="20"/>
      </w:rPr>
    </w:lvl>
    <w:lvl w:ilvl="1" w:tentative="0">
      <w:start w:val="1"/>
      <w:numFmt w:val="bullet"/>
      <w:lvlText w:val=""/>
      <w:lvlJc w:val="left"/>
      <w:pPr>
        <w:tabs>
          <w:tab w:val="left" w:pos="851"/>
        </w:tabs>
        <w:ind w:left="1270" w:hanging="419"/>
      </w:pPr>
      <w:rPr>
        <w:rFonts w:hint="default" w:ascii="Symbol" w:hAnsi="Symbol" w:eastAsia="宋体" w:cs="Symbol"/>
        <w:sz w:val="21"/>
      </w:rPr>
    </w:lvl>
    <w:lvl w:ilvl="2" w:tentative="0">
      <w:start w:val="1"/>
      <w:numFmt w:val="bullet"/>
      <w:lvlText w:val=""/>
      <w:lvlJc w:val="left"/>
      <w:pPr>
        <w:tabs>
          <w:tab w:val="left" w:pos="1678"/>
        </w:tabs>
        <w:ind w:left="1678" w:hanging="414"/>
      </w:pPr>
      <w:rPr>
        <w:rFonts w:hint="default" w:ascii="Symbol" w:hAnsi="Symbol" w:cs="Symbol"/>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upp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5">
    <w:nsid w:val="B1A2DA26"/>
    <w:multiLevelType w:val="singleLevel"/>
    <w:tmpl w:val="B1A2DA26"/>
    <w:lvl w:ilvl="0" w:tentative="0">
      <w:start w:val="1"/>
      <w:numFmt w:val="chineseCounting"/>
      <w:suff w:val="nothing"/>
      <w:lvlText w:val="（%1）"/>
      <w:lvlJc w:val="left"/>
      <w:pPr>
        <w:ind w:left="0" w:firstLine="420"/>
      </w:pPr>
      <w:rPr>
        <w:rFonts w:hint="eastAsia"/>
      </w:rPr>
    </w:lvl>
  </w:abstractNum>
  <w:abstractNum w:abstractNumId="6">
    <w:nsid w:val="B375883D"/>
    <w:multiLevelType w:val="singleLevel"/>
    <w:tmpl w:val="B375883D"/>
    <w:lvl w:ilvl="0" w:tentative="0">
      <w:start w:val="1"/>
      <w:numFmt w:val="chineseCounting"/>
      <w:suff w:val="nothing"/>
      <w:lvlText w:val="（%1）"/>
      <w:lvlJc w:val="left"/>
      <w:pPr>
        <w:ind w:left="0" w:firstLine="420"/>
      </w:pPr>
      <w:rPr>
        <w:rFonts w:hint="eastAsia"/>
      </w:rPr>
    </w:lvl>
  </w:abstractNum>
  <w:abstractNum w:abstractNumId="7">
    <w:nsid w:val="BDA7A1E6"/>
    <w:multiLevelType w:val="singleLevel"/>
    <w:tmpl w:val="BDA7A1E6"/>
    <w:lvl w:ilvl="0" w:tentative="0">
      <w:start w:val="1"/>
      <w:numFmt w:val="chineseCounting"/>
      <w:suff w:val="nothing"/>
      <w:lvlText w:val="（%1）"/>
      <w:lvlJc w:val="left"/>
      <w:pPr>
        <w:ind w:left="0" w:firstLine="420"/>
      </w:pPr>
      <w:rPr>
        <w:rFonts w:hint="eastAsia"/>
      </w:rPr>
    </w:lvl>
  </w:abstractNum>
  <w:abstractNum w:abstractNumId="8">
    <w:nsid w:val="E6CA1A4A"/>
    <w:multiLevelType w:val="multilevel"/>
    <w:tmpl w:val="E6CA1A4A"/>
    <w:lvl w:ilvl="0" w:tentative="0">
      <w:start w:val="1"/>
      <w:numFmt w:val="decimal"/>
      <w:pStyle w:val="20"/>
      <w:suff w:val="nothing"/>
      <w:lvlText w:val="%1　"/>
      <w:lvlJc w:val="left"/>
      <w:pPr>
        <w:ind w:left="0" w:firstLine="0"/>
      </w:pPr>
      <w:rPr>
        <w:rFonts w:hint="default" w:ascii="黑体" w:hAnsi="黑体" w:eastAsia="黑体" w:cs="黑体"/>
        <w:sz w:val="20"/>
      </w:rPr>
    </w:lvl>
    <w:lvl w:ilvl="1" w:tentative="0">
      <w:start w:val="1"/>
      <w:numFmt w:val="decimal"/>
      <w:pStyle w:val="19"/>
      <w:suff w:val="nothing"/>
      <w:lvlText w:val="%1.%2　"/>
      <w:lvlJc w:val="left"/>
      <w:pPr>
        <w:ind w:left="0" w:firstLine="0"/>
      </w:pPr>
      <w:rPr>
        <w:rFonts w:hint="default" w:ascii="黑体" w:hAnsi="黑体" w:eastAsia="黑体" w:cs="黑体"/>
        <w:sz w:val="20"/>
      </w:rPr>
    </w:lvl>
    <w:lvl w:ilvl="2" w:tentative="0">
      <w:start w:val="1"/>
      <w:numFmt w:val="decimal"/>
      <w:suff w:val="nothing"/>
      <w:lvlText w:val="%1.%2.%3　"/>
      <w:lvlJc w:val="left"/>
      <w:pPr>
        <w:ind w:left="0" w:firstLine="0"/>
      </w:pPr>
      <w:rPr>
        <w:rFonts w:hint="default" w:ascii="黑体" w:hAnsi="黑体" w:eastAsia="黑体" w:cs="黑体"/>
        <w:sz w:val="20"/>
      </w:rPr>
    </w:lvl>
    <w:lvl w:ilvl="3" w:tentative="0">
      <w:start w:val="1"/>
      <w:numFmt w:val="decimal"/>
      <w:suff w:val="nothing"/>
      <w:lvlText w:val="%1.%2.%3.%4　"/>
      <w:lvlJc w:val="left"/>
      <w:pPr>
        <w:ind w:left="0" w:firstLine="0"/>
      </w:pPr>
      <w:rPr>
        <w:rFonts w:hint="default" w:ascii="黑体" w:hAnsi="黑体" w:eastAsia="黑体" w:cs="黑体"/>
        <w:sz w:val="20"/>
      </w:rPr>
    </w:lvl>
    <w:lvl w:ilvl="4" w:tentative="0">
      <w:start w:val="1"/>
      <w:numFmt w:val="decimal"/>
      <w:suff w:val="nothing"/>
      <w:lvlText w:val="%1.%2.%3.%4.%5　"/>
      <w:lvlJc w:val="left"/>
      <w:pPr>
        <w:ind w:left="0" w:firstLine="0"/>
      </w:pPr>
      <w:rPr>
        <w:rFonts w:hint="default" w:ascii="黑体" w:hAnsi="黑体" w:eastAsia="黑体" w:cs="黑体"/>
        <w:sz w:val="20"/>
      </w:rPr>
    </w:lvl>
    <w:lvl w:ilvl="5" w:tentative="0">
      <w:start w:val="1"/>
      <w:numFmt w:val="decimal"/>
      <w:suff w:val="nothing"/>
      <w:lvlText w:val="%1.%2.%3.%4.%5.%6　"/>
      <w:lvlJc w:val="left"/>
      <w:pPr>
        <w:ind w:left="0" w:firstLine="0"/>
      </w:pPr>
      <w:rPr>
        <w:rFonts w:hint="default" w:ascii="黑体" w:hAnsi="黑体" w:eastAsia="黑体" w:cs="黑体"/>
        <w:sz w:val="20"/>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9">
    <w:nsid w:val="0E989C8D"/>
    <w:multiLevelType w:val="singleLevel"/>
    <w:tmpl w:val="0E989C8D"/>
    <w:lvl w:ilvl="0" w:tentative="0">
      <w:start w:val="1"/>
      <w:numFmt w:val="chineseCounting"/>
      <w:suff w:val="nothing"/>
      <w:lvlText w:val="（%1）"/>
      <w:lvlJc w:val="left"/>
      <w:pPr>
        <w:ind w:left="0" w:firstLine="420"/>
      </w:pPr>
      <w:rPr>
        <w:rFonts w:hint="eastAsia"/>
      </w:rPr>
    </w:lvl>
  </w:abstractNum>
  <w:abstractNum w:abstractNumId="10">
    <w:nsid w:val="217E8182"/>
    <w:multiLevelType w:val="multilevel"/>
    <w:tmpl w:val="217E8182"/>
    <w:lvl w:ilvl="0" w:tentative="0">
      <w:start w:val="1"/>
      <w:numFmt w:val="decimal"/>
      <w:pStyle w:val="21"/>
      <w:suff w:val="nothing"/>
      <w:lvlText w:val="[%1]  "/>
      <w:lvlJc w:val="left"/>
      <w:pPr>
        <w:ind w:left="0" w:firstLine="363"/>
      </w:pPr>
      <w:rPr>
        <w:rFonts w:hint="eastAsia" w:ascii="黑体" w:hAnsi="黑体" w:eastAsia="黑体" w:cs="黑体"/>
        <w:sz w:val="18"/>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11">
    <w:nsid w:val="3981FE04"/>
    <w:multiLevelType w:val="singleLevel"/>
    <w:tmpl w:val="3981FE04"/>
    <w:lvl w:ilvl="0" w:tentative="0">
      <w:start w:val="1"/>
      <w:numFmt w:val="chineseCounting"/>
      <w:suff w:val="nothing"/>
      <w:lvlText w:val="（%1）"/>
      <w:lvlJc w:val="left"/>
      <w:pPr>
        <w:ind w:left="0" w:firstLine="420"/>
      </w:pPr>
      <w:rPr>
        <w:rFonts w:hint="eastAsia"/>
      </w:rPr>
    </w:lvl>
  </w:abstractNum>
  <w:abstractNum w:abstractNumId="12">
    <w:nsid w:val="6ADE1563"/>
    <w:multiLevelType w:val="singleLevel"/>
    <w:tmpl w:val="6ADE1563"/>
    <w:lvl w:ilvl="0" w:tentative="0">
      <w:start w:val="1"/>
      <w:numFmt w:val="decimal"/>
      <w:suff w:val="nothing"/>
      <w:lvlText w:val="(%1)"/>
      <w:lvlJc w:val="left"/>
      <w:pPr>
        <w:ind w:left="454" w:hanging="454"/>
      </w:pPr>
      <w:rPr>
        <w:rFonts w:hint="default"/>
      </w:rPr>
    </w:lvl>
  </w:abstractNum>
  <w:abstractNum w:abstractNumId="13">
    <w:nsid w:val="6F177860"/>
    <w:multiLevelType w:val="singleLevel"/>
    <w:tmpl w:val="6F177860"/>
    <w:lvl w:ilvl="0" w:tentative="0">
      <w:start w:val="1"/>
      <w:numFmt w:val="decimal"/>
      <w:suff w:val="nothing"/>
      <w:lvlText w:val="%1."/>
      <w:lvlJc w:val="left"/>
      <w:pPr>
        <w:ind w:left="0" w:firstLine="0"/>
      </w:pPr>
      <w:rPr>
        <w:rFonts w:hint="default"/>
      </w:rPr>
    </w:lvl>
  </w:abstractNum>
  <w:num w:numId="1">
    <w:abstractNumId w:val="8"/>
  </w:num>
  <w:num w:numId="2">
    <w:abstractNumId w:val="10"/>
  </w:num>
  <w:num w:numId="3">
    <w:abstractNumId w:val="4"/>
  </w:num>
  <w:num w:numId="4">
    <w:abstractNumId w:val="1"/>
  </w:num>
  <w:num w:numId="5">
    <w:abstractNumId w:val="2"/>
  </w:num>
  <w:num w:numId="6">
    <w:abstractNumId w:val="0"/>
  </w:num>
  <w:num w:numId="7">
    <w:abstractNumId w:val="13"/>
  </w:num>
  <w:num w:numId="8">
    <w:abstractNumId w:val="5"/>
  </w:num>
  <w:num w:numId="9">
    <w:abstractNumId w:val="12"/>
  </w:num>
  <w:num w:numId="10">
    <w:abstractNumId w:val="3"/>
  </w:num>
  <w:num w:numId="11">
    <w:abstractNumId w:val="6"/>
  </w:num>
  <w:num w:numId="12">
    <w:abstractNumId w:val="11"/>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5ODljMTYwOTIzMmUwMWQyZWQ4NDc3NTk4Mzg2MjUifQ=="/>
  </w:docVars>
  <w:rsids>
    <w:rsidRoot w:val="01C92178"/>
    <w:rsid w:val="00066C74"/>
    <w:rsid w:val="000A17C7"/>
    <w:rsid w:val="000A4EC1"/>
    <w:rsid w:val="002A728C"/>
    <w:rsid w:val="00360E24"/>
    <w:rsid w:val="003936CA"/>
    <w:rsid w:val="0064795B"/>
    <w:rsid w:val="00810CC5"/>
    <w:rsid w:val="00833050"/>
    <w:rsid w:val="00A42231"/>
    <w:rsid w:val="00C4177D"/>
    <w:rsid w:val="00C70098"/>
    <w:rsid w:val="00D97BA9"/>
    <w:rsid w:val="00E91FD4"/>
    <w:rsid w:val="00F23010"/>
    <w:rsid w:val="00FB107C"/>
    <w:rsid w:val="014275D7"/>
    <w:rsid w:val="01543C57"/>
    <w:rsid w:val="01552158"/>
    <w:rsid w:val="01804A4C"/>
    <w:rsid w:val="018F76C7"/>
    <w:rsid w:val="019A1AF9"/>
    <w:rsid w:val="01C92178"/>
    <w:rsid w:val="02132F88"/>
    <w:rsid w:val="0251754F"/>
    <w:rsid w:val="02A242B9"/>
    <w:rsid w:val="04012F87"/>
    <w:rsid w:val="04425EE1"/>
    <w:rsid w:val="04B425C4"/>
    <w:rsid w:val="04CF024A"/>
    <w:rsid w:val="04DC3620"/>
    <w:rsid w:val="05052C2E"/>
    <w:rsid w:val="05896C9E"/>
    <w:rsid w:val="06021ED4"/>
    <w:rsid w:val="06744A65"/>
    <w:rsid w:val="07443F1C"/>
    <w:rsid w:val="07577FFE"/>
    <w:rsid w:val="08314CF2"/>
    <w:rsid w:val="08426EA9"/>
    <w:rsid w:val="09A37F26"/>
    <w:rsid w:val="09D5345C"/>
    <w:rsid w:val="0A6F22B3"/>
    <w:rsid w:val="0AF02C43"/>
    <w:rsid w:val="0AFF2E86"/>
    <w:rsid w:val="0B7B3A43"/>
    <w:rsid w:val="0B8A0833"/>
    <w:rsid w:val="0BE95F48"/>
    <w:rsid w:val="0BEF39A3"/>
    <w:rsid w:val="0CDA18F5"/>
    <w:rsid w:val="0CDB347F"/>
    <w:rsid w:val="0CF36F7B"/>
    <w:rsid w:val="0D016648"/>
    <w:rsid w:val="0D57184F"/>
    <w:rsid w:val="0D896D14"/>
    <w:rsid w:val="0D8C2A71"/>
    <w:rsid w:val="0DE92F1A"/>
    <w:rsid w:val="0E155D28"/>
    <w:rsid w:val="0E274C11"/>
    <w:rsid w:val="0E4A4418"/>
    <w:rsid w:val="0E5A03D3"/>
    <w:rsid w:val="0E9E6512"/>
    <w:rsid w:val="0F577BD5"/>
    <w:rsid w:val="0F5B4403"/>
    <w:rsid w:val="0F704E69"/>
    <w:rsid w:val="0F841BAC"/>
    <w:rsid w:val="0F930041"/>
    <w:rsid w:val="107C51B8"/>
    <w:rsid w:val="10B213CE"/>
    <w:rsid w:val="11904B62"/>
    <w:rsid w:val="12502219"/>
    <w:rsid w:val="128D6D96"/>
    <w:rsid w:val="12C20774"/>
    <w:rsid w:val="134C6432"/>
    <w:rsid w:val="139E0B5F"/>
    <w:rsid w:val="13C76B5C"/>
    <w:rsid w:val="13CB7050"/>
    <w:rsid w:val="13E123F7"/>
    <w:rsid w:val="14465682"/>
    <w:rsid w:val="14953609"/>
    <w:rsid w:val="14ED3A5E"/>
    <w:rsid w:val="14F60E16"/>
    <w:rsid w:val="152C2AC9"/>
    <w:rsid w:val="15456700"/>
    <w:rsid w:val="15B13177"/>
    <w:rsid w:val="15BB209F"/>
    <w:rsid w:val="15C03212"/>
    <w:rsid w:val="16000DB2"/>
    <w:rsid w:val="160F6858"/>
    <w:rsid w:val="162B0FD3"/>
    <w:rsid w:val="16F87BE6"/>
    <w:rsid w:val="1726726E"/>
    <w:rsid w:val="17D5332D"/>
    <w:rsid w:val="180C0518"/>
    <w:rsid w:val="196B31F5"/>
    <w:rsid w:val="19EA6AAF"/>
    <w:rsid w:val="1A53412E"/>
    <w:rsid w:val="1B3E66CF"/>
    <w:rsid w:val="1D3369BF"/>
    <w:rsid w:val="1D380484"/>
    <w:rsid w:val="1D411974"/>
    <w:rsid w:val="1D4726CE"/>
    <w:rsid w:val="1D5A03F0"/>
    <w:rsid w:val="1D8A4831"/>
    <w:rsid w:val="1DCA10D2"/>
    <w:rsid w:val="1DF223D6"/>
    <w:rsid w:val="1E335378"/>
    <w:rsid w:val="1E39594F"/>
    <w:rsid w:val="1EC10726"/>
    <w:rsid w:val="1FB8661D"/>
    <w:rsid w:val="1FD81BB8"/>
    <w:rsid w:val="1FF342D8"/>
    <w:rsid w:val="20AF3D06"/>
    <w:rsid w:val="20D02EA3"/>
    <w:rsid w:val="20E72428"/>
    <w:rsid w:val="20E83BDD"/>
    <w:rsid w:val="20FF09D2"/>
    <w:rsid w:val="215E1DCF"/>
    <w:rsid w:val="21635AC5"/>
    <w:rsid w:val="2208041A"/>
    <w:rsid w:val="2245454D"/>
    <w:rsid w:val="22632D9D"/>
    <w:rsid w:val="2277721A"/>
    <w:rsid w:val="230A54C8"/>
    <w:rsid w:val="241F29F4"/>
    <w:rsid w:val="24302D8C"/>
    <w:rsid w:val="247022A7"/>
    <w:rsid w:val="24DE098C"/>
    <w:rsid w:val="24FD0A87"/>
    <w:rsid w:val="258E0A61"/>
    <w:rsid w:val="260C1DEB"/>
    <w:rsid w:val="26C012C4"/>
    <w:rsid w:val="26D3469B"/>
    <w:rsid w:val="271357C0"/>
    <w:rsid w:val="27654E3D"/>
    <w:rsid w:val="27932534"/>
    <w:rsid w:val="27F154AD"/>
    <w:rsid w:val="282467FF"/>
    <w:rsid w:val="28553C8E"/>
    <w:rsid w:val="28C67888"/>
    <w:rsid w:val="28F25980"/>
    <w:rsid w:val="291D0077"/>
    <w:rsid w:val="2A390639"/>
    <w:rsid w:val="2A3F0693"/>
    <w:rsid w:val="2A4C1BA9"/>
    <w:rsid w:val="2A75334F"/>
    <w:rsid w:val="2B312799"/>
    <w:rsid w:val="2B4E7052"/>
    <w:rsid w:val="2CCE400E"/>
    <w:rsid w:val="2D8748E9"/>
    <w:rsid w:val="2D9E1C33"/>
    <w:rsid w:val="2DBE251C"/>
    <w:rsid w:val="2E717347"/>
    <w:rsid w:val="2EFE507F"/>
    <w:rsid w:val="2F1321AD"/>
    <w:rsid w:val="2F5E7918"/>
    <w:rsid w:val="2F840198"/>
    <w:rsid w:val="2FB8241F"/>
    <w:rsid w:val="3011493E"/>
    <w:rsid w:val="30135FA2"/>
    <w:rsid w:val="30912F30"/>
    <w:rsid w:val="32026C34"/>
    <w:rsid w:val="32104D3F"/>
    <w:rsid w:val="32996F9E"/>
    <w:rsid w:val="32AC6BA0"/>
    <w:rsid w:val="32D61C1E"/>
    <w:rsid w:val="333C30E8"/>
    <w:rsid w:val="338C6F46"/>
    <w:rsid w:val="33D91C17"/>
    <w:rsid w:val="33EE4CB8"/>
    <w:rsid w:val="342619BC"/>
    <w:rsid w:val="34272982"/>
    <w:rsid w:val="348F1DA3"/>
    <w:rsid w:val="34AE4E51"/>
    <w:rsid w:val="34B21023"/>
    <w:rsid w:val="34B34216"/>
    <w:rsid w:val="35026F4B"/>
    <w:rsid w:val="350A3864"/>
    <w:rsid w:val="355F614C"/>
    <w:rsid w:val="35AB7C72"/>
    <w:rsid w:val="35E54BA2"/>
    <w:rsid w:val="3622027C"/>
    <w:rsid w:val="362F149C"/>
    <w:rsid w:val="363923C7"/>
    <w:rsid w:val="364C4922"/>
    <w:rsid w:val="37DA2F9B"/>
    <w:rsid w:val="383F175F"/>
    <w:rsid w:val="395E2336"/>
    <w:rsid w:val="398C3AD5"/>
    <w:rsid w:val="39D20E0B"/>
    <w:rsid w:val="39EB26A4"/>
    <w:rsid w:val="39F9787F"/>
    <w:rsid w:val="3A267238"/>
    <w:rsid w:val="3A764468"/>
    <w:rsid w:val="3A7908DF"/>
    <w:rsid w:val="3A9A30B6"/>
    <w:rsid w:val="3B315089"/>
    <w:rsid w:val="3B6F5C46"/>
    <w:rsid w:val="3B710987"/>
    <w:rsid w:val="3B974513"/>
    <w:rsid w:val="3BF4450A"/>
    <w:rsid w:val="3C027831"/>
    <w:rsid w:val="3C2B21BC"/>
    <w:rsid w:val="3C3C2D43"/>
    <w:rsid w:val="3C3D31E9"/>
    <w:rsid w:val="3C5067EE"/>
    <w:rsid w:val="3CB957AD"/>
    <w:rsid w:val="3D0C4A6A"/>
    <w:rsid w:val="3D2A2EC2"/>
    <w:rsid w:val="3D9A41C5"/>
    <w:rsid w:val="3EC84D62"/>
    <w:rsid w:val="3F0A3CA2"/>
    <w:rsid w:val="3F487C50"/>
    <w:rsid w:val="3F6E0EBD"/>
    <w:rsid w:val="3FAA4467"/>
    <w:rsid w:val="3FD24232"/>
    <w:rsid w:val="3FDB6D16"/>
    <w:rsid w:val="40297A82"/>
    <w:rsid w:val="404946CB"/>
    <w:rsid w:val="40694322"/>
    <w:rsid w:val="40E045E4"/>
    <w:rsid w:val="41126AEB"/>
    <w:rsid w:val="412D0D5A"/>
    <w:rsid w:val="41A42FA1"/>
    <w:rsid w:val="41A62C60"/>
    <w:rsid w:val="41D44FB1"/>
    <w:rsid w:val="42DD6902"/>
    <w:rsid w:val="447B4624"/>
    <w:rsid w:val="448E3D61"/>
    <w:rsid w:val="44F8178A"/>
    <w:rsid w:val="45E83F3B"/>
    <w:rsid w:val="465B0C7A"/>
    <w:rsid w:val="46CA1EEF"/>
    <w:rsid w:val="47C86D8B"/>
    <w:rsid w:val="480212E4"/>
    <w:rsid w:val="488C21DA"/>
    <w:rsid w:val="48D3493D"/>
    <w:rsid w:val="49AD1724"/>
    <w:rsid w:val="4A2029A4"/>
    <w:rsid w:val="4A2D7076"/>
    <w:rsid w:val="4A9B25E6"/>
    <w:rsid w:val="4AB97C54"/>
    <w:rsid w:val="4ADB5737"/>
    <w:rsid w:val="4AFC1E4F"/>
    <w:rsid w:val="4B0E7FA0"/>
    <w:rsid w:val="4B652C40"/>
    <w:rsid w:val="4BBB258F"/>
    <w:rsid w:val="4BBF129A"/>
    <w:rsid w:val="4C16440C"/>
    <w:rsid w:val="4C433C79"/>
    <w:rsid w:val="4C4B1D1F"/>
    <w:rsid w:val="4CC0735A"/>
    <w:rsid w:val="4CFF45DE"/>
    <w:rsid w:val="4D481AB7"/>
    <w:rsid w:val="4D891B60"/>
    <w:rsid w:val="4F141391"/>
    <w:rsid w:val="4F1A383B"/>
    <w:rsid w:val="4F4421E2"/>
    <w:rsid w:val="4F786330"/>
    <w:rsid w:val="4F7A055A"/>
    <w:rsid w:val="4F934F18"/>
    <w:rsid w:val="4FB240A5"/>
    <w:rsid w:val="4FC66934"/>
    <w:rsid w:val="4FCF37C8"/>
    <w:rsid w:val="4FF37764"/>
    <w:rsid w:val="50727CC9"/>
    <w:rsid w:val="50B05655"/>
    <w:rsid w:val="5138301E"/>
    <w:rsid w:val="51855B90"/>
    <w:rsid w:val="51861C76"/>
    <w:rsid w:val="51861D6F"/>
    <w:rsid w:val="51F54156"/>
    <w:rsid w:val="521B699B"/>
    <w:rsid w:val="5237602E"/>
    <w:rsid w:val="52716B96"/>
    <w:rsid w:val="52A45F7A"/>
    <w:rsid w:val="52E437E6"/>
    <w:rsid w:val="52E66BF3"/>
    <w:rsid w:val="530A7B81"/>
    <w:rsid w:val="53694B2E"/>
    <w:rsid w:val="537B5871"/>
    <w:rsid w:val="547F21E1"/>
    <w:rsid w:val="54B4491E"/>
    <w:rsid w:val="5527238A"/>
    <w:rsid w:val="55CE0A58"/>
    <w:rsid w:val="55DC0321"/>
    <w:rsid w:val="56177A73"/>
    <w:rsid w:val="562C010C"/>
    <w:rsid w:val="565D5647"/>
    <w:rsid w:val="56670B15"/>
    <w:rsid w:val="567F61F6"/>
    <w:rsid w:val="57110E86"/>
    <w:rsid w:val="57373554"/>
    <w:rsid w:val="579E66BB"/>
    <w:rsid w:val="57A903B8"/>
    <w:rsid w:val="57C02622"/>
    <w:rsid w:val="583F766C"/>
    <w:rsid w:val="58B31A8B"/>
    <w:rsid w:val="58ED6291"/>
    <w:rsid w:val="58F06F37"/>
    <w:rsid w:val="59B259A0"/>
    <w:rsid w:val="59F31DD5"/>
    <w:rsid w:val="59F42A75"/>
    <w:rsid w:val="59F842F5"/>
    <w:rsid w:val="5A1A070F"/>
    <w:rsid w:val="5A3F1F24"/>
    <w:rsid w:val="5ABA301A"/>
    <w:rsid w:val="5B044F1C"/>
    <w:rsid w:val="5B0D55D0"/>
    <w:rsid w:val="5BA65531"/>
    <w:rsid w:val="5C6B7CDD"/>
    <w:rsid w:val="5CE35E7D"/>
    <w:rsid w:val="5CF74EA3"/>
    <w:rsid w:val="5CFD7E74"/>
    <w:rsid w:val="5D3B0EF6"/>
    <w:rsid w:val="5D5E4DB7"/>
    <w:rsid w:val="5D722610"/>
    <w:rsid w:val="5D79399F"/>
    <w:rsid w:val="5D8C5629"/>
    <w:rsid w:val="5E003D29"/>
    <w:rsid w:val="5ED509DA"/>
    <w:rsid w:val="5F1F40D2"/>
    <w:rsid w:val="5F223BC2"/>
    <w:rsid w:val="5F4B6414"/>
    <w:rsid w:val="5F7712A2"/>
    <w:rsid w:val="5F7E34EF"/>
    <w:rsid w:val="5FB34D4C"/>
    <w:rsid w:val="607B795F"/>
    <w:rsid w:val="60934D78"/>
    <w:rsid w:val="60B42F40"/>
    <w:rsid w:val="610572F8"/>
    <w:rsid w:val="61371BA7"/>
    <w:rsid w:val="614256C4"/>
    <w:rsid w:val="618F1CE8"/>
    <w:rsid w:val="61C3168D"/>
    <w:rsid w:val="62051CA5"/>
    <w:rsid w:val="62287742"/>
    <w:rsid w:val="6232236E"/>
    <w:rsid w:val="6240560C"/>
    <w:rsid w:val="62A414BE"/>
    <w:rsid w:val="62FB7D36"/>
    <w:rsid w:val="631C2B32"/>
    <w:rsid w:val="63751A10"/>
    <w:rsid w:val="63B23767"/>
    <w:rsid w:val="63F91704"/>
    <w:rsid w:val="640B520C"/>
    <w:rsid w:val="643D768C"/>
    <w:rsid w:val="647153D0"/>
    <w:rsid w:val="64835103"/>
    <w:rsid w:val="64A32F1D"/>
    <w:rsid w:val="65442AE4"/>
    <w:rsid w:val="655B3CF7"/>
    <w:rsid w:val="656D3290"/>
    <w:rsid w:val="658C5D0F"/>
    <w:rsid w:val="6690790B"/>
    <w:rsid w:val="66EC3434"/>
    <w:rsid w:val="67951203"/>
    <w:rsid w:val="679A4C3E"/>
    <w:rsid w:val="67B43BAE"/>
    <w:rsid w:val="681C5653"/>
    <w:rsid w:val="683B0A44"/>
    <w:rsid w:val="68751AA8"/>
    <w:rsid w:val="688760D2"/>
    <w:rsid w:val="688F499D"/>
    <w:rsid w:val="697818C1"/>
    <w:rsid w:val="6A2F7A10"/>
    <w:rsid w:val="6A815C41"/>
    <w:rsid w:val="6AE75199"/>
    <w:rsid w:val="6B040620"/>
    <w:rsid w:val="6B106FC5"/>
    <w:rsid w:val="6B3F3939"/>
    <w:rsid w:val="6B492072"/>
    <w:rsid w:val="6B764150"/>
    <w:rsid w:val="6B8A6A7E"/>
    <w:rsid w:val="6B947BF6"/>
    <w:rsid w:val="6BAE017C"/>
    <w:rsid w:val="6C547262"/>
    <w:rsid w:val="6C934BB4"/>
    <w:rsid w:val="6CC8224D"/>
    <w:rsid w:val="6D3671B7"/>
    <w:rsid w:val="6DA83CF2"/>
    <w:rsid w:val="6E2C0263"/>
    <w:rsid w:val="6E391775"/>
    <w:rsid w:val="6E51728C"/>
    <w:rsid w:val="6ED053E9"/>
    <w:rsid w:val="6F235ECE"/>
    <w:rsid w:val="6F5D002D"/>
    <w:rsid w:val="6F631CEA"/>
    <w:rsid w:val="70052418"/>
    <w:rsid w:val="701D01BA"/>
    <w:rsid w:val="701F6B46"/>
    <w:rsid w:val="706065F1"/>
    <w:rsid w:val="70765B1C"/>
    <w:rsid w:val="70BF0194"/>
    <w:rsid w:val="70F90897"/>
    <w:rsid w:val="711517D9"/>
    <w:rsid w:val="712D6B22"/>
    <w:rsid w:val="71330B4C"/>
    <w:rsid w:val="715E0A8A"/>
    <w:rsid w:val="71C64763"/>
    <w:rsid w:val="721E46BD"/>
    <w:rsid w:val="726F7E5E"/>
    <w:rsid w:val="728227FE"/>
    <w:rsid w:val="72A533B3"/>
    <w:rsid w:val="72AE5A41"/>
    <w:rsid w:val="72EB3B27"/>
    <w:rsid w:val="72EE0533"/>
    <w:rsid w:val="72F00A08"/>
    <w:rsid w:val="732E52B5"/>
    <w:rsid w:val="735E6CBF"/>
    <w:rsid w:val="737A4B55"/>
    <w:rsid w:val="737C78ED"/>
    <w:rsid w:val="73B928EF"/>
    <w:rsid w:val="74884070"/>
    <w:rsid w:val="75033B24"/>
    <w:rsid w:val="75153B55"/>
    <w:rsid w:val="75741AFD"/>
    <w:rsid w:val="75C6177C"/>
    <w:rsid w:val="75CD0DFB"/>
    <w:rsid w:val="75DD3283"/>
    <w:rsid w:val="761155E6"/>
    <w:rsid w:val="77770AF7"/>
    <w:rsid w:val="78160310"/>
    <w:rsid w:val="783C6A57"/>
    <w:rsid w:val="786F7995"/>
    <w:rsid w:val="788E2CE7"/>
    <w:rsid w:val="789E39D3"/>
    <w:rsid w:val="78AC0350"/>
    <w:rsid w:val="78BB0EB8"/>
    <w:rsid w:val="78F341AE"/>
    <w:rsid w:val="79126281"/>
    <w:rsid w:val="7951582D"/>
    <w:rsid w:val="7A3251AA"/>
    <w:rsid w:val="7B1F3F30"/>
    <w:rsid w:val="7B554F5B"/>
    <w:rsid w:val="7B7B17A6"/>
    <w:rsid w:val="7B8B4A70"/>
    <w:rsid w:val="7BE5269A"/>
    <w:rsid w:val="7C09750D"/>
    <w:rsid w:val="7C617073"/>
    <w:rsid w:val="7C63164A"/>
    <w:rsid w:val="7C967A4C"/>
    <w:rsid w:val="7CAC7B86"/>
    <w:rsid w:val="7CBE030F"/>
    <w:rsid w:val="7CC06A9D"/>
    <w:rsid w:val="7CC23E22"/>
    <w:rsid w:val="7D363B94"/>
    <w:rsid w:val="7D513B99"/>
    <w:rsid w:val="7D790DF2"/>
    <w:rsid w:val="7D8B1C08"/>
    <w:rsid w:val="7EC03106"/>
    <w:rsid w:val="7EEB787A"/>
    <w:rsid w:val="7EEF5417"/>
    <w:rsid w:val="7F142810"/>
    <w:rsid w:val="7F47583B"/>
    <w:rsid w:val="7F624D0B"/>
    <w:rsid w:val="7FC5261C"/>
    <w:rsid w:val="7FFA73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autoRedefine/>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99"/>
    <w:pPr>
      <w:spacing w:line="360" w:lineRule="auto"/>
      <w:ind w:firstLine="420" w:firstLineChars="200"/>
    </w:pPr>
    <w:rPr>
      <w:sz w:val="28"/>
    </w:rPr>
  </w:style>
  <w:style w:type="paragraph" w:styleId="4">
    <w:name w:val="annotation text"/>
    <w:basedOn w:val="1"/>
    <w:autoRedefine/>
    <w:qFormat/>
    <w:uiPriority w:val="0"/>
    <w:pPr>
      <w:jc w:val="left"/>
    </w:pPr>
  </w:style>
  <w:style w:type="paragraph" w:styleId="5">
    <w:name w:val="Body Text"/>
    <w:basedOn w:val="1"/>
    <w:autoRedefine/>
    <w:qFormat/>
    <w:uiPriority w:val="0"/>
    <w:pPr>
      <w:spacing w:line="360" w:lineRule="auto"/>
      <w:ind w:firstLine="200" w:firstLineChars="200"/>
    </w:pPr>
    <w:rPr>
      <w:sz w:val="24"/>
    </w:rPr>
  </w:style>
  <w:style w:type="paragraph" w:styleId="6">
    <w:name w:val="Plain Text"/>
    <w:basedOn w:val="1"/>
    <w:autoRedefine/>
    <w:qFormat/>
    <w:uiPriority w:val="0"/>
    <w:rPr>
      <w:rFonts w:ascii="宋体" w:hAnsi="Courier New" w:cs="Courier New"/>
      <w:szCs w:val="21"/>
    </w:rPr>
  </w:style>
  <w:style w:type="paragraph" w:styleId="7">
    <w:name w:val="Balloon Text"/>
    <w:basedOn w:val="1"/>
    <w:autoRedefine/>
    <w:qFormat/>
    <w:uiPriority w:val="0"/>
    <w:rPr>
      <w:sz w:val="18"/>
      <w:szCs w:val="18"/>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autoRedefine/>
    <w:qFormat/>
    <w:uiPriority w:val="0"/>
    <w:pPr>
      <w:spacing w:before="100" w:beforeAutospacing="1" w:after="100" w:afterAutospacing="1"/>
      <w:jc w:val="left"/>
    </w:pPr>
    <w:rPr>
      <w:rFonts w:cs="Times New Roman"/>
      <w:kern w:val="0"/>
      <w:sz w:val="24"/>
    </w:rPr>
  </w:style>
  <w:style w:type="paragraph" w:styleId="11">
    <w:name w:val="Body Text First Indent 2"/>
    <w:basedOn w:val="5"/>
    <w:next w:val="1"/>
    <w:autoRedefine/>
    <w:qFormat/>
    <w:uiPriority w:val="0"/>
    <w:pPr>
      <w:ind w:firstLine="420"/>
    </w:p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rPr>
  </w:style>
  <w:style w:type="character" w:styleId="16">
    <w:name w:val="Emphasis"/>
    <w:basedOn w:val="14"/>
    <w:autoRedefine/>
    <w:qFormat/>
    <w:uiPriority w:val="0"/>
    <w:rPr>
      <w:i/>
    </w:rPr>
  </w:style>
  <w:style w:type="character" w:styleId="17">
    <w:name w:val="Hyperlink"/>
    <w:basedOn w:val="14"/>
    <w:autoRedefine/>
    <w:qFormat/>
    <w:uiPriority w:val="0"/>
    <w:rPr>
      <w:color w:val="0000FF"/>
      <w:u w:val="single"/>
    </w:rPr>
  </w:style>
  <w:style w:type="paragraph" w:customStyle="1" w:styleId="18">
    <w:name w:val="标准文件_段"/>
    <w:autoRedefine/>
    <w:qFormat/>
    <w:uiPriority w:val="0"/>
    <w:pPr>
      <w:ind w:firstLine="960" w:firstLineChars="200"/>
      <w:jc w:val="both"/>
    </w:pPr>
    <w:rPr>
      <w:rFonts w:hint="eastAsia" w:ascii="宋体" w:hAnsi="Times New Roman" w:eastAsia="宋体" w:cs="宋体"/>
      <w:sz w:val="21"/>
      <w:lang w:val="en-US" w:eastAsia="zh-CN" w:bidi="ar-SA"/>
    </w:rPr>
  </w:style>
  <w:style w:type="paragraph" w:customStyle="1" w:styleId="19">
    <w:name w:val="标准文件_一级条标题"/>
    <w:basedOn w:val="20"/>
    <w:next w:val="18"/>
    <w:autoRedefine/>
    <w:qFormat/>
    <w:uiPriority w:val="0"/>
    <w:pPr>
      <w:numPr>
        <w:ilvl w:val="1"/>
      </w:numPr>
      <w:spacing w:before="157" w:beforeLines="50" w:after="157" w:afterLines="50"/>
      <w:outlineLvl w:val="1"/>
    </w:pPr>
  </w:style>
  <w:style w:type="paragraph" w:customStyle="1" w:styleId="20">
    <w:name w:val="标准文件_章标题"/>
    <w:next w:val="18"/>
    <w:autoRedefine/>
    <w:qFormat/>
    <w:uiPriority w:val="0"/>
    <w:pPr>
      <w:numPr>
        <w:ilvl w:val="0"/>
        <w:numId w:val="1"/>
      </w:numPr>
      <w:spacing w:before="313" w:beforeLines="100" w:after="313" w:afterLines="100"/>
      <w:jc w:val="both"/>
      <w:outlineLvl w:val="0"/>
    </w:pPr>
    <w:rPr>
      <w:rFonts w:hint="eastAsia" w:ascii="黑体" w:hAnsi="Times New Roman" w:eastAsia="黑体" w:cs="黑体"/>
      <w:sz w:val="21"/>
      <w:lang w:val="en-US" w:eastAsia="zh-CN" w:bidi="ar-SA"/>
    </w:rPr>
  </w:style>
  <w:style w:type="paragraph" w:customStyle="1" w:styleId="21">
    <w:name w:val="标准文件_参考文献编号"/>
    <w:basedOn w:val="18"/>
    <w:autoRedefine/>
    <w:qFormat/>
    <w:uiPriority w:val="0"/>
    <w:pPr>
      <w:numPr>
        <w:ilvl w:val="0"/>
        <w:numId w:val="2"/>
      </w:numPr>
    </w:pPr>
  </w:style>
  <w:style w:type="paragraph" w:customStyle="1" w:styleId="22">
    <w:name w:val="标准文件_一级项"/>
    <w:next w:val="18"/>
    <w:autoRedefine/>
    <w:qFormat/>
    <w:uiPriority w:val="0"/>
    <w:pPr>
      <w:numPr>
        <w:ilvl w:val="0"/>
        <w:numId w:val="3"/>
      </w:numPr>
    </w:pPr>
    <w:rPr>
      <w:rFonts w:hint="eastAsia" w:ascii="宋体" w:hAnsi="Times New Roman" w:eastAsia="宋体" w:cs="宋体"/>
      <w:sz w:val="21"/>
      <w:lang w:val="en-US" w:eastAsia="zh-CN" w:bidi="ar-SA"/>
    </w:rPr>
  </w:style>
  <w:style w:type="paragraph" w:customStyle="1" w:styleId="23">
    <w:name w:val="标准文件_二级无标题"/>
    <w:basedOn w:val="24"/>
    <w:autoRedefine/>
    <w:qFormat/>
    <w:uiPriority w:val="0"/>
    <w:pPr>
      <w:spacing w:before="4" w:beforeLines="1" w:after="4" w:afterLines="1"/>
      <w:outlineLvl w:val="9"/>
    </w:pPr>
    <w:rPr>
      <w:rFonts w:ascii="宋体" w:hAnsi="宋体" w:eastAsia="宋体" w:cs="宋体"/>
    </w:rPr>
  </w:style>
  <w:style w:type="paragraph" w:customStyle="1" w:styleId="24">
    <w:name w:val="标准文件_二级条标题"/>
    <w:next w:val="18"/>
    <w:qFormat/>
    <w:uiPriority w:val="0"/>
    <w:pPr>
      <w:numPr>
        <w:ilvl w:val="2"/>
        <w:numId w:val="4"/>
      </w:numPr>
      <w:spacing w:before="157" w:beforeLines="50" w:after="157" w:afterLines="50"/>
      <w:jc w:val="both"/>
      <w:outlineLvl w:val="2"/>
    </w:pPr>
    <w:rPr>
      <w:rFonts w:hint="eastAsia" w:ascii="黑体" w:hAnsi="黑体" w:eastAsia="黑体" w:cs="黑体"/>
      <w:sz w:val="21"/>
      <w:lang w:val="en-US" w:eastAsia="zh-CN" w:bidi="ar-SA"/>
    </w:rPr>
  </w:style>
  <w:style w:type="paragraph" w:customStyle="1" w:styleId="25">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024a86d5-5e84-43ff-a46f-91303765ea8c</errorID>
      <errorWord>资</errorWord>
      <group>L1_Word</group>
      <groupName>字词问题</groupName>
      <ability>L2_Typo</ability>
      <abilityName>字词错误</abilityName>
      <candidateList>
        <item>资子</item>
      </candidateList>
      <explain/>
      <paraID>139F07C0</paraID>
      <start>28</start>
      <end>29</end>
      <status>unmodified</status>
      <modifiedWord/>
      <trackRevisions>false</trackRevisions>
    </reviewItem>
    <reviewItem>
      <errorID>15d237ba-44aa-4c2a-9911-58b42724f2d5</errorID>
      <errorWord>等等</errorWord>
      <group>L1_Word</group>
      <groupName>字词问题</groupName>
      <ability>L2_Typo</ability>
      <abilityName>字词错误</abilityName>
      <candidateList>
        <item>等</item>
      </candidateList>
      <explain/>
      <paraID>139F07C0</paraID>
      <start>107</start>
      <end>109</end>
      <status>unmodified</status>
      <modifiedWord/>
      <trackRevisions>false</trackRevisions>
    </reviewItem>
    <reviewItem>
      <errorID>df28bd6c-c8d8-45be-ba06-33720e3994d2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7627ED5B</paraID>
      <start>8</start>
      <end>9</end>
      <status>unmodified</status>
      <modifiedWord/>
      <trackRevisions>false</trackRevisions>
    </reviewItem>
    <reviewItem>
      <errorID>abdf8987-1c10-4ed7-a864-659213b85a63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401C4503</paraID>
      <start>7</start>
      <end>8</end>
      <status>unmodified</status>
      <modifiedWord/>
      <trackRevisions>false</trackRevisions>
    </reviewItem>
    <reviewItem>
      <errorID>d98a9ce1-5633-445d-9bc3-a7eff5e158d4</errorID>
      <errorWord>政</errorWord>
      <group>L1_Word</group>
      <groupName>字词问题</groupName>
      <ability>L2_Typo</ability>
      <abilityName>字词错误</abilityName>
      <candidateList>
        <item>政务</item>
      </candidateList>
      <explain/>
      <paraID>52F601EB</paraID>
      <start>348</start>
      <end>351</end>
      <status>modified</status>
      <modifiedWord>政务</modifiedWord>
      <trackRevisions>true</trackRevisions>
    </reviewItem>
    <reviewItem>
      <errorID>49954f0c-b513-456f-a38b-41a0050aec8c</errorID>
      <errorWord>服务服务</errorWord>
      <group>L1_Word</group>
      <groupName>字词问题</groupName>
      <ability>L2_Typo</ability>
      <abilityName>字词错误</abilityName>
      <candidateList>
        <item>服务</item>
      </candidateList>
      <explain/>
      <paraID>52F601EB</paraID>
      <start>351</start>
      <end>355</end>
      <status>unmodified</status>
      <modifiedWord/>
      <trackRevisions>false</trackRevisions>
    </reviewItem>
    <reviewItem>
      <errorID>ca64710a-18e4-4478-9db1-a75ae60f9f3c</errorID>
      <errorWord>法律、法规</errorWord>
      <group>L1_Word</group>
      <groupName>字词问题</groupName>
      <ability>L2_Typo</ability>
      <abilityName>字词错误</abilityName>
      <candidateList>
        <item>法律法规</item>
      </candidateList>
      <explain/>
      <paraID>70CC5A0F</paraID>
      <start>6</start>
      <end>11</end>
      <status>unmodified</status>
      <modifiedWord/>
      <trackRevisions>false</trackRevisions>
    </reviewItem>
    <reviewItem>
      <errorID>7fb0b75d-0850-4fa5-a5da-018980d62f9d</errorID>
      <errorWord>法律、法规</errorWord>
      <group>L1_Word</group>
      <groupName>字词问题</groupName>
      <ability>L2_Typo</ability>
      <abilityName>字词错误</abilityName>
      <candidateList>
        <item>法律法规</item>
      </candidateList>
      <explain/>
      <paraID>23EEA718</paraID>
      <start>13</start>
      <end>18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705c88-f3d9-4c00-87ab-0f367bc0f3d3}">
  <ds:schemaRefs/>
</ds:datastoreItem>
</file>

<file path=docProps/app.xml><?xml version="1.0" encoding="utf-8"?>
<Properties xmlns="http://schemas.openxmlformats.org/officeDocument/2006/extended-properties" xmlns:vt="http://schemas.openxmlformats.org/officeDocument/2006/docPropsVTypes">
  <Template>Normal.dotm</Template>
  <Company>DoubleOX</Company>
  <Pages>8</Pages>
  <Words>3413</Words>
  <Characters>3461</Characters>
  <Lines>30</Lines>
  <Paragraphs>8</Paragraphs>
  <TotalTime>16</TotalTime>
  <ScaleCrop>false</ScaleCrop>
  <LinksUpToDate>false</LinksUpToDate>
  <CharactersWithSpaces>3620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2024-12-24T07:04:00Z</dcterms:created>
  <dc:creator>小可达铄</dc:creator>
  <cp:lastModifiedBy>LYF</cp:lastModifiedBy>
  <cp:lastPrinted>2022-05-19T06:07:00Z</cp:lastPrinted>
  <dcterms:modified xsi:type="dcterms:W3CDTF">2026-08-06T02:08:45Z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08CF1D71F1484833A92B528EE2B733BD_13</vt:lpwstr>
  </property>
  <property fmtid="{D5CDD505-2E9C-101B-9397-08002B2CF9AE}" pid="4" name="KSOTemplateDocerSaveRecord">
    <vt:lpwstr>eyJoZGlkIjoiMmU3MTczMDQzNTE3ZDg5YjkwNDQzZDI2NmExN2VhYjciLCJ1c2VySWQiOiIyMzY0ODMyNzEifQ==</vt:lpwstr>
  </property>
</Properties>
</file>